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C003" w14:textId="77777777" w:rsidR="00BC608D" w:rsidRPr="00B16F7C" w:rsidRDefault="00BC608D" w:rsidP="00630BB7">
      <w:pPr>
        <w:spacing w:after="0" w:line="240" w:lineRule="auto"/>
        <w:contextualSpacing/>
        <w:jc w:val="center"/>
        <w:rPr>
          <w:rFonts w:ascii="Myriad Pro" w:eastAsia="Myriad Pro" w:hAnsi="Myriad Pro" w:cs="Myriad Pro"/>
          <w:b/>
          <w:bCs/>
          <w:sz w:val="20"/>
          <w:szCs w:val="20"/>
          <w:lang w:val="en-US"/>
        </w:rPr>
      </w:pPr>
      <w:r w:rsidRPr="00B16F7C">
        <w:rPr>
          <w:rFonts w:ascii="Myriad Pro" w:eastAsia="Myriad Pro" w:hAnsi="Myriad Pro" w:cs="Myriad Pro"/>
          <w:b/>
          <w:bCs/>
          <w:sz w:val="20"/>
          <w:szCs w:val="20"/>
          <w:lang w:val="en-US"/>
        </w:rPr>
        <w:t>Invitation to consultation with suppliers</w:t>
      </w:r>
    </w:p>
    <w:p w14:paraId="5C211438" w14:textId="0BFE0752" w:rsidR="00BC608D" w:rsidRPr="00B16F7C" w:rsidRDefault="00BC608D" w:rsidP="00BC608D">
      <w:pPr>
        <w:spacing w:after="0" w:line="240" w:lineRule="auto"/>
        <w:contextualSpacing/>
        <w:jc w:val="center"/>
        <w:rPr>
          <w:rFonts w:ascii="Myriad Pro" w:eastAsia="Myriad Pro" w:hAnsi="Myriad Pro" w:cs="Myriad Pro"/>
          <w:b/>
          <w:bCs/>
          <w:sz w:val="20"/>
          <w:szCs w:val="20"/>
          <w:lang w:val="en-US"/>
        </w:rPr>
      </w:pPr>
      <w:r w:rsidRPr="00B16F7C">
        <w:rPr>
          <w:rFonts w:ascii="Myriad Pro" w:eastAsia="Myriad Pro" w:hAnsi="Myriad Pro" w:cs="Myriad Pro"/>
          <w:b/>
          <w:bCs/>
          <w:sz w:val="20"/>
          <w:szCs w:val="20"/>
          <w:lang w:val="en-US"/>
        </w:rPr>
        <w:t>for</w:t>
      </w:r>
    </w:p>
    <w:p w14:paraId="76535B4A" w14:textId="2B6B92D5" w:rsidR="00BC608D" w:rsidRPr="00B16F7C" w:rsidRDefault="00BC608D" w:rsidP="00BC608D">
      <w:pPr>
        <w:spacing w:after="0" w:line="240" w:lineRule="auto"/>
        <w:contextualSpacing/>
        <w:jc w:val="center"/>
        <w:rPr>
          <w:rFonts w:ascii="Myriad Pro" w:eastAsia="Myriad Pro" w:hAnsi="Myriad Pro" w:cs="Myriad Pro"/>
          <w:b/>
          <w:bCs/>
          <w:sz w:val="20"/>
          <w:szCs w:val="20"/>
          <w:lang w:val="en-US"/>
        </w:rPr>
      </w:pPr>
      <w:r w:rsidRPr="00B16F7C">
        <w:rPr>
          <w:rFonts w:ascii="Myriad Pro" w:eastAsia="Myriad Pro" w:hAnsi="Myriad Pro" w:cs="Myriad Pro"/>
          <w:b/>
          <w:bCs/>
          <w:sz w:val="20"/>
          <w:szCs w:val="20"/>
          <w:lang w:val="en-US"/>
        </w:rPr>
        <w:t xml:space="preserve">procurement </w:t>
      </w:r>
    </w:p>
    <w:p w14:paraId="502203C3" w14:textId="77777777" w:rsidR="00BC608D" w:rsidRPr="00A76D00" w:rsidRDefault="00BC608D" w:rsidP="00BC608D">
      <w:pPr>
        <w:pStyle w:val="Heading42"/>
        <w:keepNext/>
        <w:keepLines/>
        <w:spacing w:after="240"/>
        <w:ind w:left="278"/>
        <w:rPr>
          <w:rFonts w:ascii="Myriad Pro" w:eastAsia="Myriad Pro" w:hAnsi="Myriad Pro" w:cs="Myriad Pro"/>
          <w:sz w:val="20"/>
          <w:szCs w:val="20"/>
        </w:rPr>
      </w:pPr>
      <w:r w:rsidRPr="78FA8D76">
        <w:rPr>
          <w:rFonts w:ascii="Myriad Pro" w:eastAsia="Myriad Pro" w:hAnsi="Myriad Pro" w:cs="Myriad Pro"/>
          <w:sz w:val="20"/>
          <w:szCs w:val="20"/>
        </w:rPr>
        <w:t>“AUTODESK LICENSES FOR EMPLOYEES”</w:t>
      </w:r>
    </w:p>
    <w:p w14:paraId="5E539F0F" w14:textId="77777777" w:rsidR="0028410D" w:rsidRPr="0028410D" w:rsidRDefault="0028410D" w:rsidP="00630BB7">
      <w:pPr>
        <w:spacing w:after="0" w:line="240" w:lineRule="auto"/>
        <w:contextualSpacing/>
        <w:jc w:val="center"/>
        <w:rPr>
          <w:rFonts w:ascii="Times New Roman" w:hAnsi="Times New Roman" w:cs="Times New Roman"/>
          <w:b/>
          <w:bCs/>
          <w:sz w:val="24"/>
          <w:szCs w:val="24"/>
        </w:rPr>
      </w:pPr>
    </w:p>
    <w:tbl>
      <w:tblPr>
        <w:tblStyle w:val="TableGrid"/>
        <w:tblW w:w="9493" w:type="dxa"/>
        <w:jc w:val="center"/>
        <w:tblLook w:val="04A0" w:firstRow="1" w:lastRow="0" w:firstColumn="1" w:lastColumn="0" w:noHBand="0" w:noVBand="1"/>
      </w:tblPr>
      <w:tblGrid>
        <w:gridCol w:w="534"/>
        <w:gridCol w:w="2199"/>
        <w:gridCol w:w="6760"/>
      </w:tblGrid>
      <w:tr w:rsidR="00630BB7" w:rsidRPr="00150F32" w14:paraId="1A96BDD5" w14:textId="77777777" w:rsidTr="00742847">
        <w:trPr>
          <w:jc w:val="center"/>
        </w:trPr>
        <w:tc>
          <w:tcPr>
            <w:tcW w:w="534" w:type="dxa"/>
          </w:tcPr>
          <w:p w14:paraId="5CB33744" w14:textId="77777777" w:rsidR="00630BB7" w:rsidRPr="00150F32" w:rsidRDefault="00630BB7" w:rsidP="008B44C0">
            <w:pPr>
              <w:jc w:val="center"/>
              <w:rPr>
                <w:rFonts w:ascii="Myriad Pro" w:eastAsia="Myriad Pro" w:hAnsi="Myriad Pro" w:cs="Myriad Pro"/>
                <w:sz w:val="20"/>
                <w:szCs w:val="20"/>
                <w:lang w:val="en-US"/>
              </w:rPr>
            </w:pPr>
            <w:r w:rsidRPr="00150F32">
              <w:rPr>
                <w:rFonts w:ascii="Myriad Pro" w:eastAsia="Myriad Pro" w:hAnsi="Myriad Pro" w:cs="Myriad Pro"/>
                <w:sz w:val="20"/>
                <w:szCs w:val="20"/>
                <w:lang w:val="en-US"/>
              </w:rPr>
              <w:t>1.</w:t>
            </w:r>
          </w:p>
        </w:tc>
        <w:tc>
          <w:tcPr>
            <w:tcW w:w="2199" w:type="dxa"/>
          </w:tcPr>
          <w:p w14:paraId="625C10A1" w14:textId="5DAEBF81" w:rsidR="00630BB7" w:rsidRPr="00150F32" w:rsidRDefault="00B16F7C" w:rsidP="008B44C0">
            <w:pPr>
              <w:spacing w:after="240" w:line="274" w:lineRule="exact"/>
              <w:ind w:left="100" w:hanging="213"/>
              <w:rPr>
                <w:rFonts w:ascii="Myriad Pro" w:eastAsia="Myriad Pro" w:hAnsi="Myriad Pro" w:cs="Myriad Pro"/>
                <w:sz w:val="20"/>
                <w:szCs w:val="20"/>
                <w:lang w:val="en-US"/>
              </w:rPr>
            </w:pPr>
            <w:r w:rsidRPr="00150F32">
              <w:rPr>
                <w:rFonts w:ascii="Myriad Pro" w:eastAsia="Myriad Pro" w:hAnsi="Myriad Pro" w:cs="Myriad Pro"/>
                <w:sz w:val="20"/>
                <w:szCs w:val="20"/>
                <w:lang w:val="en-US"/>
              </w:rPr>
              <w:t>Contracting Authority</w:t>
            </w:r>
          </w:p>
        </w:tc>
        <w:tc>
          <w:tcPr>
            <w:tcW w:w="6760" w:type="dxa"/>
          </w:tcPr>
          <w:p w14:paraId="00F6E408" w14:textId="12BC4ED5" w:rsidR="00630BB7" w:rsidRPr="00150F32" w:rsidRDefault="00B16F7C" w:rsidP="008B44C0">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 xml:space="preserve">RB Rail AS. </w:t>
            </w:r>
            <w:proofErr w:type="spellStart"/>
            <w:r w:rsidRPr="00150F32">
              <w:rPr>
                <w:rFonts w:ascii="Myriad Pro" w:eastAsia="Myriad Pro" w:hAnsi="Myriad Pro" w:cs="Myriad Pro"/>
                <w:sz w:val="20"/>
                <w:szCs w:val="20"/>
                <w:lang w:val="en-US"/>
              </w:rPr>
              <w:t>Satekles</w:t>
            </w:r>
            <w:proofErr w:type="spellEnd"/>
            <w:r w:rsidRPr="00150F32">
              <w:rPr>
                <w:rFonts w:ascii="Myriad Pro" w:eastAsia="Myriad Pro" w:hAnsi="Myriad Pro" w:cs="Myriad Pro"/>
                <w:sz w:val="20"/>
                <w:szCs w:val="20"/>
                <w:lang w:val="en-US"/>
              </w:rPr>
              <w:t xml:space="preserve"> street 2b, LV-1052, Riga, Latvia</w:t>
            </w:r>
          </w:p>
        </w:tc>
      </w:tr>
      <w:tr w:rsidR="00630BB7" w:rsidRPr="00150F32" w14:paraId="77BF17DB" w14:textId="77777777" w:rsidTr="00742847">
        <w:trPr>
          <w:jc w:val="center"/>
        </w:trPr>
        <w:tc>
          <w:tcPr>
            <w:tcW w:w="534" w:type="dxa"/>
          </w:tcPr>
          <w:p w14:paraId="23FD4D54" w14:textId="77777777" w:rsidR="00630BB7" w:rsidRPr="00150F32" w:rsidRDefault="00630BB7" w:rsidP="008B44C0">
            <w:pPr>
              <w:jc w:val="center"/>
              <w:rPr>
                <w:rFonts w:ascii="Myriad Pro" w:eastAsia="Myriad Pro" w:hAnsi="Myriad Pro" w:cs="Myriad Pro"/>
                <w:sz w:val="20"/>
                <w:szCs w:val="20"/>
                <w:lang w:val="en-US"/>
              </w:rPr>
            </w:pPr>
            <w:r w:rsidRPr="00150F32">
              <w:rPr>
                <w:rFonts w:ascii="Myriad Pro" w:eastAsia="Myriad Pro" w:hAnsi="Myriad Pro" w:cs="Myriad Pro"/>
                <w:sz w:val="20"/>
                <w:szCs w:val="20"/>
                <w:lang w:val="en-US"/>
              </w:rPr>
              <w:t>2.</w:t>
            </w:r>
          </w:p>
        </w:tc>
        <w:tc>
          <w:tcPr>
            <w:tcW w:w="2199" w:type="dxa"/>
          </w:tcPr>
          <w:p w14:paraId="478C504A" w14:textId="09588DA6" w:rsidR="00630BB7" w:rsidRPr="00150F32" w:rsidRDefault="00B16F7C" w:rsidP="008B44C0">
            <w:pPr>
              <w:rPr>
                <w:rFonts w:ascii="Myriad Pro" w:eastAsia="Myriad Pro" w:hAnsi="Myriad Pro" w:cs="Myriad Pro"/>
                <w:sz w:val="20"/>
                <w:szCs w:val="20"/>
                <w:lang w:val="en-US"/>
              </w:rPr>
            </w:pPr>
            <w:proofErr w:type="spellStart"/>
            <w:r w:rsidRPr="00150F32">
              <w:rPr>
                <w:rFonts w:ascii="Myriad Pro" w:eastAsia="Myriad Pro" w:hAnsi="Myriad Pro" w:cs="Myriad Pro"/>
                <w:sz w:val="20"/>
                <w:szCs w:val="20"/>
                <w:lang w:val="en-US"/>
              </w:rPr>
              <w:t>Contactperon</w:t>
            </w:r>
            <w:proofErr w:type="spellEnd"/>
            <w:r w:rsidRPr="00150F32">
              <w:rPr>
                <w:rFonts w:ascii="Myriad Pro" w:eastAsia="Myriad Pro" w:hAnsi="Myriad Pro" w:cs="Myriad Pro"/>
                <w:sz w:val="20"/>
                <w:szCs w:val="20"/>
                <w:lang w:val="en-US"/>
              </w:rPr>
              <w:t xml:space="preserve"> </w:t>
            </w:r>
          </w:p>
        </w:tc>
        <w:tc>
          <w:tcPr>
            <w:tcW w:w="6760" w:type="dxa"/>
          </w:tcPr>
          <w:p w14:paraId="6CF114FD" w14:textId="4A84C283" w:rsidR="000C4760" w:rsidRPr="00150F32" w:rsidRDefault="00B16F7C" w:rsidP="00896F50">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 xml:space="preserve">Anastasija Līduma Procurement specialist RB Rail AS. </w:t>
            </w:r>
            <w:hyperlink r:id="rId9" w:history="1">
              <w:r w:rsidRPr="00150F32">
                <w:rPr>
                  <w:rFonts w:ascii="Myriad Pro" w:eastAsia="Myriad Pro" w:hAnsi="Myriad Pro" w:cs="Myriad Pro"/>
                  <w:sz w:val="20"/>
                  <w:szCs w:val="20"/>
                  <w:lang w:val="en-US"/>
                </w:rPr>
                <w:t>Anastasija.liduma@railbaltica.org</w:t>
              </w:r>
            </w:hyperlink>
            <w:r w:rsidRPr="00150F32">
              <w:rPr>
                <w:rFonts w:ascii="Myriad Pro" w:eastAsia="Myriad Pro" w:hAnsi="Myriad Pro" w:cs="Myriad Pro"/>
                <w:sz w:val="20"/>
                <w:szCs w:val="20"/>
                <w:lang w:val="en-US"/>
              </w:rPr>
              <w:t xml:space="preserve"> </w:t>
            </w:r>
          </w:p>
        </w:tc>
      </w:tr>
      <w:tr w:rsidR="00630BB7" w:rsidRPr="00150F32" w14:paraId="1D5EACF4" w14:textId="77777777" w:rsidTr="00742847">
        <w:trPr>
          <w:jc w:val="center"/>
        </w:trPr>
        <w:tc>
          <w:tcPr>
            <w:tcW w:w="534" w:type="dxa"/>
          </w:tcPr>
          <w:p w14:paraId="790326C3" w14:textId="77777777" w:rsidR="00630BB7" w:rsidRPr="00150F32" w:rsidRDefault="00630BB7" w:rsidP="008B44C0">
            <w:pPr>
              <w:jc w:val="center"/>
              <w:rPr>
                <w:rFonts w:ascii="Myriad Pro" w:eastAsia="Myriad Pro" w:hAnsi="Myriad Pro" w:cs="Myriad Pro"/>
                <w:sz w:val="20"/>
                <w:szCs w:val="20"/>
                <w:lang w:val="en-US"/>
              </w:rPr>
            </w:pPr>
            <w:r w:rsidRPr="00150F32">
              <w:rPr>
                <w:rFonts w:ascii="Myriad Pro" w:eastAsia="Myriad Pro" w:hAnsi="Myriad Pro" w:cs="Myriad Pro"/>
                <w:sz w:val="20"/>
                <w:szCs w:val="20"/>
                <w:lang w:val="en-US"/>
              </w:rPr>
              <w:t>3.</w:t>
            </w:r>
          </w:p>
        </w:tc>
        <w:tc>
          <w:tcPr>
            <w:tcW w:w="2199" w:type="dxa"/>
          </w:tcPr>
          <w:p w14:paraId="08F310F0" w14:textId="2059512C" w:rsidR="00630BB7" w:rsidRPr="00150F32" w:rsidRDefault="00587FB0" w:rsidP="008B44C0">
            <w:pPr>
              <w:rPr>
                <w:rFonts w:ascii="Myriad Pro" w:eastAsia="Myriad Pro" w:hAnsi="Myriad Pro" w:cs="Myriad Pro"/>
                <w:sz w:val="20"/>
                <w:szCs w:val="20"/>
                <w:lang w:val="en-US"/>
              </w:rPr>
            </w:pPr>
            <w:r w:rsidRPr="00150F32">
              <w:rPr>
                <w:rFonts w:ascii="Myriad Pro" w:eastAsia="Myriad Pro" w:hAnsi="Myriad Pro" w:cs="Myriad Pro"/>
                <w:sz w:val="20"/>
                <w:szCs w:val="20"/>
                <w:lang w:val="en-US"/>
              </w:rPr>
              <w:t xml:space="preserve">Legal basis for </w:t>
            </w:r>
            <w:r w:rsidR="000D1A67" w:rsidRPr="00150F32">
              <w:rPr>
                <w:rFonts w:ascii="Myriad Pro" w:eastAsia="Myriad Pro" w:hAnsi="Myriad Pro" w:cs="Myriad Pro"/>
                <w:sz w:val="20"/>
                <w:szCs w:val="20"/>
                <w:lang w:val="en-US"/>
              </w:rPr>
              <w:t>consultation</w:t>
            </w:r>
            <w:r w:rsidRPr="00150F32">
              <w:rPr>
                <w:rFonts w:ascii="Myriad Pro" w:eastAsia="Myriad Pro" w:hAnsi="Myriad Pro" w:cs="Myriad Pro"/>
                <w:sz w:val="20"/>
                <w:szCs w:val="20"/>
                <w:lang w:val="en-US"/>
              </w:rPr>
              <w:t xml:space="preserve"> with Suppliers</w:t>
            </w:r>
          </w:p>
        </w:tc>
        <w:tc>
          <w:tcPr>
            <w:tcW w:w="6760" w:type="dxa"/>
          </w:tcPr>
          <w:p w14:paraId="6FDD71AB" w14:textId="064C5149" w:rsidR="00630BB7" w:rsidRPr="00150F32" w:rsidRDefault="00587FB0" w:rsidP="008B44C0">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Section 2 of Article 18 of Public Procurement Law of Latvia which foresees the right of Contracting Authority to establish consultation with Suppliers in order to prepare procurement and inform Suppliers on procurement plan and requirements.</w:t>
            </w:r>
          </w:p>
        </w:tc>
      </w:tr>
      <w:tr w:rsidR="00630BB7" w:rsidRPr="00150F32" w14:paraId="08FD06CE" w14:textId="77777777" w:rsidTr="00742847">
        <w:trPr>
          <w:trHeight w:val="1550"/>
          <w:jc w:val="center"/>
        </w:trPr>
        <w:tc>
          <w:tcPr>
            <w:tcW w:w="534" w:type="dxa"/>
          </w:tcPr>
          <w:p w14:paraId="541DBB9F" w14:textId="77777777" w:rsidR="00630BB7" w:rsidRPr="00150F32" w:rsidRDefault="00630BB7" w:rsidP="008B44C0">
            <w:pPr>
              <w:jc w:val="center"/>
              <w:rPr>
                <w:rFonts w:ascii="Myriad Pro" w:eastAsia="Myriad Pro" w:hAnsi="Myriad Pro" w:cs="Myriad Pro"/>
                <w:sz w:val="20"/>
                <w:szCs w:val="20"/>
                <w:lang w:val="en-US"/>
              </w:rPr>
            </w:pPr>
            <w:r w:rsidRPr="00150F32">
              <w:rPr>
                <w:rFonts w:ascii="Myriad Pro" w:eastAsia="Myriad Pro" w:hAnsi="Myriad Pro" w:cs="Myriad Pro"/>
                <w:sz w:val="20"/>
                <w:szCs w:val="20"/>
                <w:lang w:val="en-US"/>
              </w:rPr>
              <w:t>4.</w:t>
            </w:r>
          </w:p>
        </w:tc>
        <w:tc>
          <w:tcPr>
            <w:tcW w:w="2199" w:type="dxa"/>
          </w:tcPr>
          <w:p w14:paraId="13B39855" w14:textId="5B44548A" w:rsidR="00630BB7" w:rsidRPr="00150F32" w:rsidRDefault="004C1BD8" w:rsidP="008B44C0">
            <w:pPr>
              <w:rPr>
                <w:rFonts w:ascii="Myriad Pro" w:eastAsia="Myriad Pro" w:hAnsi="Myriad Pro" w:cs="Myriad Pro"/>
                <w:sz w:val="20"/>
                <w:szCs w:val="20"/>
                <w:lang w:val="en-US"/>
              </w:rPr>
            </w:pPr>
            <w:r w:rsidRPr="00150F32">
              <w:rPr>
                <w:rFonts w:ascii="Myriad Pro" w:eastAsia="Myriad Pro" w:hAnsi="Myriad Pro" w:cs="Myriad Pro"/>
                <w:sz w:val="20"/>
                <w:szCs w:val="20"/>
                <w:lang w:val="en-US"/>
              </w:rPr>
              <w:t>Subject-matter of procurement</w:t>
            </w:r>
          </w:p>
        </w:tc>
        <w:tc>
          <w:tcPr>
            <w:tcW w:w="6760" w:type="dxa"/>
          </w:tcPr>
          <w:p w14:paraId="460F2D0E" w14:textId="3593B5F5" w:rsidR="008F36BA" w:rsidRPr="00150F32" w:rsidRDefault="005752F0" w:rsidP="008F36BA">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Type of Procurement</w:t>
            </w:r>
            <w:r w:rsidR="008F36BA" w:rsidRPr="00150F32">
              <w:rPr>
                <w:rFonts w:ascii="Myriad Pro" w:eastAsia="Myriad Pro" w:hAnsi="Myriad Pro" w:cs="Myriad Pro"/>
                <w:sz w:val="20"/>
                <w:szCs w:val="20"/>
                <w:lang w:val="en-US"/>
              </w:rPr>
              <w:t xml:space="preserve">: </w:t>
            </w:r>
            <w:r w:rsidRPr="00150F32">
              <w:rPr>
                <w:rFonts w:ascii="Myriad Pro" w:eastAsia="Myriad Pro" w:hAnsi="Myriad Pro" w:cs="Myriad Pro"/>
                <w:sz w:val="20"/>
                <w:szCs w:val="20"/>
                <w:lang w:val="en-US"/>
              </w:rPr>
              <w:t>Goods</w:t>
            </w:r>
          </w:p>
          <w:p w14:paraId="7E23133C" w14:textId="543519F1" w:rsidR="00A461EB" w:rsidRPr="00150F32" w:rsidRDefault="005752F0" w:rsidP="00A461EB">
            <w:pPr>
              <w:pStyle w:val="2ndlevelheading"/>
              <w:numPr>
                <w:ilvl w:val="0"/>
                <w:numId w:val="0"/>
              </w:numPr>
              <w:spacing w:before="120" w:after="120"/>
              <w:rPr>
                <w:rFonts w:eastAsia="Myriad Pro" w:cs="Myriad Pro"/>
                <w:b w:val="0"/>
                <w:szCs w:val="20"/>
                <w:lang w:val="en-US"/>
              </w:rPr>
            </w:pPr>
            <w:r w:rsidRPr="00150F32">
              <w:rPr>
                <w:rFonts w:eastAsia="Myriad Pro" w:cs="Myriad Pro"/>
                <w:b w:val="0"/>
                <w:szCs w:val="20"/>
                <w:lang w:val="en-US"/>
              </w:rPr>
              <w:t>Subject-matter of procurement</w:t>
            </w:r>
            <w:r w:rsidR="008F36BA" w:rsidRPr="00150F32">
              <w:rPr>
                <w:rFonts w:eastAsia="Myriad Pro" w:cs="Myriad Pro"/>
                <w:b w:val="0"/>
                <w:szCs w:val="20"/>
                <w:lang w:val="en-US"/>
              </w:rPr>
              <w:t xml:space="preserve">: </w:t>
            </w:r>
            <w:r w:rsidR="00A461EB" w:rsidRPr="00150F32">
              <w:rPr>
                <w:rFonts w:eastAsia="Myriad Pro" w:cs="Myriad Pro"/>
                <w:b w:val="0"/>
                <w:szCs w:val="20"/>
                <w:lang w:val="en-US"/>
              </w:rPr>
              <w:t xml:space="preserve">Subject matter of the Procurement is – provision of goods - Autodesk Flex Tokens (hereinafter referred to also as Goods) and administrative support for licensed use of Autodesk software. Autodesk Flex Tokens enables to access any Autodesk product made available for Autodesk Flex Tokens for a daily rate. Subject-matter of the Procurement is included in Annex No 2 “Technical specification” to the Regulations. </w:t>
            </w:r>
          </w:p>
          <w:p w14:paraId="05EDA295" w14:textId="0AD9428D" w:rsidR="00C461CF" w:rsidRPr="00150F32" w:rsidRDefault="00A461EB" w:rsidP="00C461CF">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Term of the Agreement</w:t>
            </w:r>
            <w:r w:rsidR="00C461CF" w:rsidRPr="00150F32">
              <w:rPr>
                <w:rFonts w:ascii="Myriad Pro" w:eastAsia="Myriad Pro" w:hAnsi="Myriad Pro" w:cs="Myriad Pro"/>
                <w:sz w:val="20"/>
                <w:szCs w:val="20"/>
                <w:lang w:val="en-US"/>
              </w:rPr>
              <w:t xml:space="preserve">:  </w:t>
            </w:r>
            <w:r w:rsidR="00A202D2" w:rsidRPr="00150F32">
              <w:rPr>
                <w:rFonts w:ascii="Myriad Pro" w:eastAsia="Myriad Pro" w:hAnsi="Myriad Pro" w:cs="Myriad Pro"/>
                <w:sz w:val="20"/>
                <w:szCs w:val="20"/>
                <w:lang w:val="en-US"/>
              </w:rPr>
              <w:t>36</w:t>
            </w:r>
            <w:r w:rsidR="00C461CF" w:rsidRPr="00150F32">
              <w:rPr>
                <w:rFonts w:ascii="Myriad Pro" w:eastAsia="Myriad Pro" w:hAnsi="Myriad Pro" w:cs="Myriad Pro"/>
                <w:sz w:val="20"/>
                <w:szCs w:val="20"/>
                <w:lang w:val="en-US"/>
              </w:rPr>
              <w:t xml:space="preserve"> mēneši</w:t>
            </w:r>
          </w:p>
          <w:p w14:paraId="25820B6C" w14:textId="77146426" w:rsidR="00416C3D" w:rsidRPr="00150F32" w:rsidRDefault="00C461CF" w:rsidP="00507250">
            <w:pPr>
              <w:pStyle w:val="3rdlevelheading"/>
              <w:numPr>
                <w:ilvl w:val="0"/>
                <w:numId w:val="0"/>
              </w:numPr>
              <w:ind w:left="964" w:hanging="964"/>
              <w:rPr>
                <w:rFonts w:eastAsia="Myriad Pro" w:cs="Myriad Pro"/>
                <w:b w:val="0"/>
                <w:i w:val="0"/>
                <w:szCs w:val="20"/>
                <w:lang w:val="en-US"/>
              </w:rPr>
            </w:pPr>
            <w:r w:rsidRPr="00150F32">
              <w:rPr>
                <w:rFonts w:eastAsia="Myriad Pro" w:cs="Myriad Pro"/>
                <w:b w:val="0"/>
                <w:i w:val="0"/>
                <w:szCs w:val="20"/>
                <w:lang w:val="en-US"/>
              </w:rPr>
              <w:t xml:space="preserve">CPV </w:t>
            </w:r>
            <w:r w:rsidR="00A461EB" w:rsidRPr="00150F32">
              <w:rPr>
                <w:rFonts w:eastAsia="Myriad Pro" w:cs="Myriad Pro"/>
                <w:b w:val="0"/>
                <w:i w:val="0"/>
                <w:szCs w:val="20"/>
                <w:lang w:val="en-US"/>
              </w:rPr>
              <w:t>code</w:t>
            </w:r>
            <w:r w:rsidRPr="00150F32">
              <w:rPr>
                <w:rFonts w:eastAsia="Myriad Pro" w:cs="Myriad Pro"/>
                <w:b w:val="0"/>
                <w:i w:val="0"/>
                <w:szCs w:val="20"/>
                <w:lang w:val="en-US"/>
              </w:rPr>
              <w:t xml:space="preserve">: </w:t>
            </w:r>
            <w:r w:rsidR="00A461EB" w:rsidRPr="00150F32">
              <w:rPr>
                <w:rFonts w:eastAsia="Myriad Pro" w:cs="Myriad Pro"/>
                <w:b w:val="0"/>
                <w:szCs w:val="20"/>
                <w:lang w:val="en-US"/>
              </w:rPr>
              <w:t>48900000-7 (Miscellaneous software package and computer systems)</w:t>
            </w:r>
            <w:r w:rsidR="00507250" w:rsidRPr="00150F32">
              <w:rPr>
                <w:rFonts w:eastAsia="Myriad Pro" w:cs="Myriad Pro"/>
                <w:b w:val="0"/>
                <w:szCs w:val="20"/>
              </w:rPr>
              <w:t>.</w:t>
            </w:r>
          </w:p>
        </w:tc>
      </w:tr>
      <w:tr w:rsidR="00630BB7" w:rsidRPr="00150F32" w14:paraId="28593DF0" w14:textId="77777777" w:rsidTr="00742847">
        <w:trPr>
          <w:jc w:val="center"/>
        </w:trPr>
        <w:tc>
          <w:tcPr>
            <w:tcW w:w="534" w:type="dxa"/>
          </w:tcPr>
          <w:p w14:paraId="6DFAB4C5" w14:textId="77777777" w:rsidR="00630BB7" w:rsidRPr="00150F32" w:rsidRDefault="00630BB7" w:rsidP="008B44C0">
            <w:pPr>
              <w:jc w:val="center"/>
              <w:rPr>
                <w:rFonts w:ascii="Myriad Pro" w:eastAsia="Myriad Pro" w:hAnsi="Myriad Pro" w:cs="Myriad Pro"/>
                <w:sz w:val="20"/>
                <w:szCs w:val="20"/>
                <w:lang w:val="en-US"/>
              </w:rPr>
            </w:pPr>
            <w:r w:rsidRPr="00150F32">
              <w:rPr>
                <w:rFonts w:ascii="Myriad Pro" w:eastAsia="Myriad Pro" w:hAnsi="Myriad Pro" w:cs="Myriad Pro"/>
                <w:sz w:val="20"/>
                <w:szCs w:val="20"/>
                <w:lang w:val="en-US"/>
              </w:rPr>
              <w:t>5.</w:t>
            </w:r>
          </w:p>
        </w:tc>
        <w:tc>
          <w:tcPr>
            <w:tcW w:w="2199" w:type="dxa"/>
          </w:tcPr>
          <w:p w14:paraId="45F5E2A7" w14:textId="6A7E06BE" w:rsidR="00630BB7" w:rsidRPr="00150F32" w:rsidRDefault="00C45380" w:rsidP="008B44C0">
            <w:pPr>
              <w:rPr>
                <w:rFonts w:ascii="Myriad Pro" w:eastAsia="Myriad Pro" w:hAnsi="Myriad Pro" w:cs="Myriad Pro"/>
                <w:sz w:val="20"/>
                <w:szCs w:val="20"/>
                <w:lang w:val="en-US"/>
              </w:rPr>
            </w:pPr>
            <w:r w:rsidRPr="00150F32">
              <w:rPr>
                <w:rFonts w:ascii="Myriad Pro" w:eastAsia="Myriad Pro" w:hAnsi="Myriad Pro" w:cs="Myriad Pro"/>
                <w:sz w:val="20"/>
                <w:szCs w:val="20"/>
                <w:lang w:val="en-US"/>
              </w:rPr>
              <w:t xml:space="preserve">Purpose of the consultation </w:t>
            </w:r>
          </w:p>
        </w:tc>
        <w:tc>
          <w:tcPr>
            <w:tcW w:w="6760" w:type="dxa"/>
          </w:tcPr>
          <w:p w14:paraId="0504E887" w14:textId="3EB5A19C" w:rsidR="00630BB7" w:rsidRPr="00150F32" w:rsidRDefault="00D6013A" w:rsidP="008B44C0">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Inform the suppliers about the planned procurement and identify potential tenderer’s abilities to provide an offer corresponding to the procurement subject in accordance with the technical specification developed by the Contracting Authority</w:t>
            </w:r>
          </w:p>
        </w:tc>
      </w:tr>
      <w:tr w:rsidR="00630BB7" w:rsidRPr="00150F32" w14:paraId="1261722C" w14:textId="77777777" w:rsidTr="00742847">
        <w:trPr>
          <w:jc w:val="center"/>
        </w:trPr>
        <w:tc>
          <w:tcPr>
            <w:tcW w:w="534" w:type="dxa"/>
          </w:tcPr>
          <w:p w14:paraId="02A9F130" w14:textId="77777777" w:rsidR="00630BB7" w:rsidRPr="00150F32" w:rsidRDefault="00630BB7" w:rsidP="008B44C0">
            <w:pPr>
              <w:jc w:val="center"/>
              <w:rPr>
                <w:rFonts w:ascii="Myriad Pro" w:eastAsia="Myriad Pro" w:hAnsi="Myriad Pro" w:cs="Myriad Pro"/>
                <w:sz w:val="20"/>
                <w:szCs w:val="20"/>
                <w:lang w:val="en-US"/>
              </w:rPr>
            </w:pPr>
            <w:r w:rsidRPr="00150F32">
              <w:rPr>
                <w:rFonts w:ascii="Myriad Pro" w:eastAsia="Myriad Pro" w:hAnsi="Myriad Pro" w:cs="Myriad Pro"/>
                <w:sz w:val="20"/>
                <w:szCs w:val="20"/>
                <w:lang w:val="en-US"/>
              </w:rPr>
              <w:t>6.</w:t>
            </w:r>
          </w:p>
        </w:tc>
        <w:tc>
          <w:tcPr>
            <w:tcW w:w="2199" w:type="dxa"/>
          </w:tcPr>
          <w:p w14:paraId="4C967F7A" w14:textId="55D03E05" w:rsidR="00630BB7" w:rsidRPr="008A6B27" w:rsidRDefault="00D6013A" w:rsidP="008B44C0">
            <w:pPr>
              <w:rPr>
                <w:rFonts w:ascii="Myriad Pro" w:eastAsia="Myriad Pro" w:hAnsi="Myriad Pro" w:cs="Myriad Pro"/>
                <w:sz w:val="20"/>
                <w:szCs w:val="20"/>
                <w:lang w:val="en-US"/>
              </w:rPr>
            </w:pPr>
            <w:r w:rsidRPr="008A6B27">
              <w:rPr>
                <w:rFonts w:ascii="Myriad Pro" w:eastAsia="Myriad Pro" w:hAnsi="Myriad Pro" w:cs="Myriad Pro"/>
                <w:sz w:val="20"/>
                <w:szCs w:val="20"/>
                <w:lang w:val="en-US"/>
              </w:rPr>
              <w:t>Time and place of consultation</w:t>
            </w:r>
          </w:p>
        </w:tc>
        <w:tc>
          <w:tcPr>
            <w:tcW w:w="6760" w:type="dxa"/>
          </w:tcPr>
          <w:p w14:paraId="41BA6492" w14:textId="3EC0C670" w:rsidR="001C3E07" w:rsidRPr="008443D5" w:rsidRDefault="001C3E07" w:rsidP="008B44C0">
            <w:pPr>
              <w:jc w:val="both"/>
              <w:rPr>
                <w:rFonts w:ascii="Myriad Pro" w:eastAsia="Myriad Pro" w:hAnsi="Myriad Pro" w:cs="Myriad Pro"/>
                <w:b/>
                <w:bCs/>
                <w:sz w:val="20"/>
                <w:szCs w:val="20"/>
                <w:lang w:val="en-US"/>
              </w:rPr>
            </w:pPr>
            <w:r w:rsidRPr="00150F32">
              <w:rPr>
                <w:rFonts w:ascii="Myriad Pro" w:eastAsia="Myriad Pro" w:hAnsi="Myriad Pro" w:cs="Myriad Pro"/>
                <w:sz w:val="20"/>
                <w:szCs w:val="20"/>
                <w:lang w:val="en-US"/>
              </w:rPr>
              <w:t xml:space="preserve">Consultation shall happen in </w:t>
            </w:r>
            <w:r w:rsidR="00B25DAC" w:rsidRPr="00150F32">
              <w:rPr>
                <w:rFonts w:ascii="Myriad Pro" w:eastAsia="Myriad Pro" w:hAnsi="Myriad Pro" w:cs="Myriad Pro"/>
                <w:sz w:val="20"/>
                <w:szCs w:val="20"/>
                <w:lang w:val="en-US"/>
              </w:rPr>
              <w:t>writing</w:t>
            </w:r>
            <w:r w:rsidRPr="00150F32">
              <w:rPr>
                <w:rFonts w:ascii="Myriad Pro" w:eastAsia="Myriad Pro" w:hAnsi="Myriad Pro" w:cs="Myriad Pro"/>
                <w:sz w:val="20"/>
                <w:szCs w:val="20"/>
                <w:lang w:val="en-US"/>
              </w:rPr>
              <w:t xml:space="preserve">. Suppliers shall send their questions, comments and suggestions to e-mail: </w:t>
            </w:r>
            <w:hyperlink r:id="rId10" w:history="1">
              <w:r w:rsidRPr="008443D5">
                <w:rPr>
                  <w:rFonts w:ascii="Myriad Pro" w:eastAsia="Myriad Pro" w:hAnsi="Myriad Pro" w:cs="Myriad Pro"/>
                  <w:b/>
                  <w:bCs/>
                  <w:sz w:val="20"/>
                  <w:szCs w:val="20"/>
                  <w:lang w:val="en-US"/>
                </w:rPr>
                <w:t>anastasija.liduma@railbaltica.org</w:t>
              </w:r>
            </w:hyperlink>
            <w:r w:rsidRPr="008443D5">
              <w:rPr>
                <w:rFonts w:ascii="Myriad Pro" w:eastAsia="Myriad Pro" w:hAnsi="Myriad Pro" w:cs="Myriad Pro"/>
                <w:b/>
                <w:bCs/>
                <w:sz w:val="20"/>
                <w:szCs w:val="20"/>
                <w:lang w:val="en-US"/>
              </w:rPr>
              <w:t xml:space="preserve"> until October </w:t>
            </w:r>
            <w:r w:rsidR="00B25DAC" w:rsidRPr="008443D5">
              <w:rPr>
                <w:rFonts w:ascii="Myriad Pro" w:eastAsia="Myriad Pro" w:hAnsi="Myriad Pro" w:cs="Myriad Pro"/>
                <w:b/>
                <w:bCs/>
                <w:sz w:val="20"/>
                <w:szCs w:val="20"/>
                <w:lang w:val="en-US"/>
              </w:rPr>
              <w:t>8</w:t>
            </w:r>
            <w:r w:rsidRPr="008443D5">
              <w:rPr>
                <w:rFonts w:ascii="Myriad Pro" w:eastAsia="Myriad Pro" w:hAnsi="Myriad Pro" w:cs="Myriad Pro"/>
                <w:b/>
                <w:bCs/>
                <w:sz w:val="20"/>
                <w:szCs w:val="20"/>
                <w:lang w:val="en-US"/>
              </w:rPr>
              <w:t xml:space="preserve">, 2024 17:00 </w:t>
            </w:r>
          </w:p>
          <w:p w14:paraId="116CB4D1" w14:textId="795082A7" w:rsidR="00630BB7" w:rsidRPr="00150F32" w:rsidRDefault="001C3E07" w:rsidP="008B44C0">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Suppliers, when sending information for consultation, should evaluate whether it is considered a commercial secret or confidential information, which should be indicated accordingly.</w:t>
            </w:r>
          </w:p>
        </w:tc>
      </w:tr>
      <w:tr w:rsidR="00630BB7" w:rsidRPr="00150F32" w14:paraId="59E995EA" w14:textId="77777777" w:rsidTr="00742847">
        <w:trPr>
          <w:jc w:val="center"/>
        </w:trPr>
        <w:tc>
          <w:tcPr>
            <w:tcW w:w="534" w:type="dxa"/>
          </w:tcPr>
          <w:p w14:paraId="3F65B6F6" w14:textId="77777777" w:rsidR="00630BB7" w:rsidRPr="00150F32" w:rsidRDefault="00630BB7" w:rsidP="008B44C0">
            <w:pPr>
              <w:jc w:val="center"/>
              <w:rPr>
                <w:rFonts w:ascii="Myriad Pro" w:eastAsia="Myriad Pro" w:hAnsi="Myriad Pro" w:cs="Myriad Pro"/>
                <w:sz w:val="20"/>
                <w:szCs w:val="20"/>
                <w:lang w:val="en-US"/>
              </w:rPr>
            </w:pPr>
            <w:r w:rsidRPr="00150F32">
              <w:rPr>
                <w:rFonts w:ascii="Myriad Pro" w:eastAsia="Myriad Pro" w:hAnsi="Myriad Pro" w:cs="Myriad Pro"/>
                <w:sz w:val="20"/>
                <w:szCs w:val="20"/>
                <w:lang w:val="en-US"/>
              </w:rPr>
              <w:t>7.</w:t>
            </w:r>
          </w:p>
        </w:tc>
        <w:tc>
          <w:tcPr>
            <w:tcW w:w="2199" w:type="dxa"/>
          </w:tcPr>
          <w:p w14:paraId="3C28BEF4" w14:textId="430D1B77" w:rsidR="00630BB7" w:rsidRPr="00150F32" w:rsidRDefault="00571A00" w:rsidP="008B44C0">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 xml:space="preserve">Questions to be discussed: </w:t>
            </w:r>
          </w:p>
        </w:tc>
        <w:tc>
          <w:tcPr>
            <w:tcW w:w="6760" w:type="dxa"/>
          </w:tcPr>
          <w:p w14:paraId="0767AC3D" w14:textId="77777777" w:rsidR="00571A00" w:rsidRPr="00150F32" w:rsidRDefault="00571A00" w:rsidP="00571A00">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1. Qualification requirements;</w:t>
            </w:r>
          </w:p>
          <w:p w14:paraId="2F475D87" w14:textId="638708D3" w:rsidR="00571A00" w:rsidRPr="00150F32" w:rsidRDefault="00571A00" w:rsidP="00571A00">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2.</w:t>
            </w:r>
            <w:r w:rsidR="00B03EE9" w:rsidRPr="00150F32">
              <w:rPr>
                <w:rFonts w:ascii="Myriad Pro" w:eastAsia="Myriad Pro" w:hAnsi="Myriad Pro" w:cs="Myriad Pro"/>
                <w:sz w:val="20"/>
                <w:szCs w:val="20"/>
                <w:lang w:val="en-US"/>
              </w:rPr>
              <w:t>Contract award criteria</w:t>
            </w:r>
            <w:r w:rsidRPr="00150F32">
              <w:rPr>
                <w:rFonts w:ascii="Myriad Pro" w:eastAsia="Myriad Pro" w:hAnsi="Myriad Pro" w:cs="Myriad Pro"/>
                <w:sz w:val="20"/>
                <w:szCs w:val="20"/>
                <w:lang w:val="en-US"/>
              </w:rPr>
              <w:t>;</w:t>
            </w:r>
          </w:p>
          <w:p w14:paraId="2CF1F8FC" w14:textId="08053A33" w:rsidR="00A202D2" w:rsidRPr="00150F32" w:rsidRDefault="00571A00" w:rsidP="00571A00">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3. Information specified in the technical specification.</w:t>
            </w:r>
          </w:p>
        </w:tc>
      </w:tr>
      <w:tr w:rsidR="002D5E2E" w:rsidRPr="00150F32" w14:paraId="4A0E054C" w14:textId="77777777" w:rsidTr="00742847">
        <w:trPr>
          <w:jc w:val="center"/>
        </w:trPr>
        <w:tc>
          <w:tcPr>
            <w:tcW w:w="534" w:type="dxa"/>
          </w:tcPr>
          <w:p w14:paraId="7A754CFB" w14:textId="38ED0CED" w:rsidR="002D5E2E" w:rsidRPr="00150F32" w:rsidRDefault="00A202D2" w:rsidP="002D5E2E">
            <w:pPr>
              <w:jc w:val="center"/>
              <w:rPr>
                <w:rFonts w:ascii="Myriad Pro" w:eastAsia="Myriad Pro" w:hAnsi="Myriad Pro" w:cs="Myriad Pro"/>
                <w:sz w:val="20"/>
                <w:szCs w:val="20"/>
                <w:lang w:val="en-US"/>
              </w:rPr>
            </w:pPr>
            <w:r w:rsidRPr="00150F32">
              <w:rPr>
                <w:rFonts w:ascii="Myriad Pro" w:eastAsia="Myriad Pro" w:hAnsi="Myriad Pro" w:cs="Myriad Pro"/>
                <w:sz w:val="20"/>
                <w:szCs w:val="20"/>
                <w:lang w:val="en-US"/>
              </w:rPr>
              <w:t>8</w:t>
            </w:r>
            <w:r w:rsidR="002D5E2E" w:rsidRPr="00150F32">
              <w:rPr>
                <w:rFonts w:ascii="Myriad Pro" w:eastAsia="Myriad Pro" w:hAnsi="Myriad Pro" w:cs="Myriad Pro"/>
                <w:sz w:val="20"/>
                <w:szCs w:val="20"/>
                <w:lang w:val="en-US"/>
              </w:rPr>
              <w:t>.</w:t>
            </w:r>
          </w:p>
        </w:tc>
        <w:tc>
          <w:tcPr>
            <w:tcW w:w="2199" w:type="dxa"/>
          </w:tcPr>
          <w:p w14:paraId="011722FD" w14:textId="61A99029" w:rsidR="002D5E2E" w:rsidRPr="00150F32" w:rsidRDefault="00B03EE9" w:rsidP="002D5E2E">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Contract award criteria:</w:t>
            </w:r>
          </w:p>
        </w:tc>
        <w:tc>
          <w:tcPr>
            <w:tcW w:w="6760" w:type="dxa"/>
          </w:tcPr>
          <w:p w14:paraId="6FA5E34D" w14:textId="21870283" w:rsidR="002D5E2E" w:rsidRPr="00526B9B" w:rsidRDefault="00B03EE9" w:rsidP="00526B9B">
            <w:pPr>
              <w:rPr>
                <w:rFonts w:ascii="Myriad Pro" w:eastAsia="Myriad Pro" w:hAnsi="Myriad Pro" w:cs="Myriad Pro"/>
                <w:sz w:val="20"/>
                <w:szCs w:val="20"/>
                <w:lang w:val="en-US"/>
              </w:rPr>
            </w:pPr>
            <w:bookmarkStart w:id="0" w:name="_Toc524531349"/>
            <w:bookmarkStart w:id="1" w:name="_Toc524601960"/>
            <w:r w:rsidRPr="00150F32">
              <w:rPr>
                <w:rFonts w:ascii="Myriad Pro" w:eastAsia="Myriad Pro" w:hAnsi="Myriad Pro" w:cs="Myriad Pro"/>
                <w:sz w:val="20"/>
                <w:szCs w:val="20"/>
                <w:lang w:val="en-US"/>
              </w:rPr>
              <w:t xml:space="preserve">The economically most advantageous proposal in the Procurement shall be Proposal with the lowest total price for Table No 1 (price is the only evaluation criterion based on specific of procurement </w:t>
            </w:r>
            <w:r w:rsidR="00557285" w:rsidRPr="00150F32">
              <w:rPr>
                <w:rFonts w:ascii="Myriad Pro" w:eastAsia="Myriad Pro" w:hAnsi="Myriad Pro" w:cs="Myriad Pro"/>
                <w:sz w:val="20"/>
                <w:szCs w:val="20"/>
                <w:lang w:val="en-US"/>
              </w:rPr>
              <w:t>and</w:t>
            </w:r>
            <w:r w:rsidRPr="00150F32">
              <w:rPr>
                <w:rFonts w:ascii="Myriad Pro" w:eastAsia="Myriad Pro" w:hAnsi="Myriad Pro" w:cs="Myriad Pro"/>
                <w:sz w:val="20"/>
                <w:szCs w:val="20"/>
                <w:lang w:val="en-US"/>
              </w:rPr>
              <w:t xml:space="preserve"> section 4 of Article 51 of Public Procurement Law of Latvia), which complies with the requirements stipulated by the Regulations.</w:t>
            </w:r>
            <w:bookmarkEnd w:id="0"/>
            <w:bookmarkEnd w:id="1"/>
          </w:p>
        </w:tc>
      </w:tr>
      <w:tr w:rsidR="002D5E2E" w:rsidRPr="00150F32" w14:paraId="0CB63E3F" w14:textId="77777777" w:rsidTr="00742847">
        <w:trPr>
          <w:jc w:val="center"/>
        </w:trPr>
        <w:tc>
          <w:tcPr>
            <w:tcW w:w="534" w:type="dxa"/>
          </w:tcPr>
          <w:p w14:paraId="71291EF3" w14:textId="5A71F36E" w:rsidR="002D5E2E" w:rsidRPr="00150F32" w:rsidRDefault="00A202D2" w:rsidP="002D5E2E">
            <w:pPr>
              <w:jc w:val="center"/>
              <w:rPr>
                <w:rFonts w:ascii="Myriad Pro" w:eastAsia="Myriad Pro" w:hAnsi="Myriad Pro" w:cs="Myriad Pro"/>
                <w:sz w:val="20"/>
                <w:szCs w:val="20"/>
                <w:lang w:val="en-US"/>
              </w:rPr>
            </w:pPr>
            <w:r w:rsidRPr="00150F32">
              <w:rPr>
                <w:rFonts w:ascii="Myriad Pro" w:eastAsia="Myriad Pro" w:hAnsi="Myriad Pro" w:cs="Myriad Pro"/>
                <w:sz w:val="20"/>
                <w:szCs w:val="20"/>
                <w:lang w:val="en-US"/>
              </w:rPr>
              <w:t>9</w:t>
            </w:r>
            <w:r w:rsidR="002D5E2E" w:rsidRPr="00150F32">
              <w:rPr>
                <w:rFonts w:ascii="Myriad Pro" w:eastAsia="Myriad Pro" w:hAnsi="Myriad Pro" w:cs="Myriad Pro"/>
                <w:sz w:val="20"/>
                <w:szCs w:val="20"/>
                <w:lang w:val="en-US"/>
              </w:rPr>
              <w:t>.</w:t>
            </w:r>
          </w:p>
        </w:tc>
        <w:tc>
          <w:tcPr>
            <w:tcW w:w="2199" w:type="dxa"/>
          </w:tcPr>
          <w:p w14:paraId="51955486" w14:textId="6BF6DDC4" w:rsidR="002D5E2E" w:rsidRPr="00150F32" w:rsidRDefault="000149E8" w:rsidP="002D5E2E">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 xml:space="preserve">Documenting the </w:t>
            </w:r>
            <w:r w:rsidR="009627A9" w:rsidRPr="00150F32">
              <w:rPr>
                <w:rFonts w:ascii="Myriad Pro" w:eastAsia="Myriad Pro" w:hAnsi="Myriad Pro" w:cs="Myriad Pro"/>
                <w:sz w:val="20"/>
                <w:szCs w:val="20"/>
                <w:lang w:val="en-US"/>
              </w:rPr>
              <w:t>consultation</w:t>
            </w:r>
            <w:r w:rsidRPr="00150F32">
              <w:rPr>
                <w:rFonts w:ascii="Myriad Pro" w:eastAsia="Myriad Pro" w:hAnsi="Myriad Pro" w:cs="Myriad Pro"/>
                <w:sz w:val="20"/>
                <w:szCs w:val="20"/>
                <w:lang w:val="en-US"/>
              </w:rPr>
              <w:t xml:space="preserve"> with Suppliers</w:t>
            </w:r>
          </w:p>
        </w:tc>
        <w:tc>
          <w:tcPr>
            <w:tcW w:w="6760" w:type="dxa"/>
          </w:tcPr>
          <w:p w14:paraId="57D42C99" w14:textId="29B4F668" w:rsidR="000149E8" w:rsidRPr="00150F32" w:rsidRDefault="000149E8" w:rsidP="000149E8">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The Contracting Authority will collect the information sent by the Suppliers after the deadline specified in section 6 of the invitation.</w:t>
            </w:r>
          </w:p>
          <w:p w14:paraId="01BFC0CD" w14:textId="586AD2B5" w:rsidR="000149E8" w:rsidRDefault="000149E8" w:rsidP="000149E8">
            <w:p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 xml:space="preserve">Information received from the consultation, including responses to questions (if any), will be documented in the preparation of </w:t>
            </w:r>
            <w:r w:rsidR="00F07CDD">
              <w:rPr>
                <w:rFonts w:ascii="Myriad Pro" w:eastAsia="Myriad Pro" w:hAnsi="Myriad Pro" w:cs="Myriad Pro"/>
                <w:sz w:val="20"/>
                <w:szCs w:val="20"/>
                <w:lang w:val="en-US"/>
              </w:rPr>
              <w:t>report</w:t>
            </w:r>
            <w:r w:rsidRPr="00150F32">
              <w:rPr>
                <w:rFonts w:ascii="Myriad Pro" w:eastAsia="Myriad Pro" w:hAnsi="Myriad Pro" w:cs="Myriad Pro"/>
                <w:sz w:val="20"/>
                <w:szCs w:val="20"/>
                <w:lang w:val="en-US"/>
              </w:rPr>
              <w:t xml:space="preserve"> of the consultation.</w:t>
            </w:r>
          </w:p>
          <w:p w14:paraId="42B744D9" w14:textId="45B6BBB3" w:rsidR="00596B52" w:rsidRPr="00150F32" w:rsidRDefault="00596B52" w:rsidP="000149E8">
            <w:pPr>
              <w:jc w:val="both"/>
              <w:rPr>
                <w:rFonts w:ascii="Myriad Pro" w:eastAsia="Myriad Pro" w:hAnsi="Myriad Pro" w:cs="Myriad Pro"/>
                <w:sz w:val="20"/>
                <w:szCs w:val="20"/>
                <w:lang w:val="en-US"/>
              </w:rPr>
            </w:pPr>
            <w:r w:rsidRPr="00596B52">
              <w:rPr>
                <w:rFonts w:ascii="Myriad Pro" w:eastAsia="Myriad Pro" w:hAnsi="Myriad Pro" w:cs="Myriad Pro"/>
                <w:sz w:val="20"/>
                <w:szCs w:val="20"/>
                <w:lang w:val="en-US"/>
              </w:rPr>
              <w:t xml:space="preserve">The </w:t>
            </w:r>
            <w:r>
              <w:rPr>
                <w:rFonts w:ascii="Myriad Pro" w:eastAsia="Myriad Pro" w:hAnsi="Myriad Pro" w:cs="Myriad Pro"/>
                <w:sz w:val="20"/>
                <w:szCs w:val="20"/>
                <w:lang w:val="en-US"/>
              </w:rPr>
              <w:t>Contracting Authority</w:t>
            </w:r>
            <w:r w:rsidRPr="00596B52">
              <w:rPr>
                <w:rFonts w:ascii="Myriad Pro" w:eastAsia="Myriad Pro" w:hAnsi="Myriad Pro" w:cs="Myriad Pro"/>
                <w:sz w:val="20"/>
                <w:szCs w:val="20"/>
                <w:lang w:val="en-US"/>
              </w:rPr>
              <w:t xml:space="preserve"> issues the consultation report within 3 </w:t>
            </w:r>
            <w:r>
              <w:rPr>
                <w:rFonts w:ascii="Myriad Pro" w:eastAsia="Myriad Pro" w:hAnsi="Myriad Pro" w:cs="Myriad Pro"/>
                <w:sz w:val="20"/>
                <w:szCs w:val="20"/>
                <w:lang w:val="en-US"/>
              </w:rPr>
              <w:t>business</w:t>
            </w:r>
            <w:r w:rsidRPr="00596B52">
              <w:rPr>
                <w:rFonts w:ascii="Myriad Pro" w:eastAsia="Myriad Pro" w:hAnsi="Myriad Pro" w:cs="Myriad Pro"/>
                <w:sz w:val="20"/>
                <w:szCs w:val="20"/>
                <w:lang w:val="en-US"/>
              </w:rPr>
              <w:t xml:space="preserve"> days</w:t>
            </w:r>
            <w:r>
              <w:rPr>
                <w:rFonts w:ascii="Myriad Pro" w:eastAsia="Myriad Pro" w:hAnsi="Myriad Pro" w:cs="Myriad Pro"/>
                <w:sz w:val="20"/>
                <w:szCs w:val="20"/>
                <w:lang w:val="en-US"/>
              </w:rPr>
              <w:t xml:space="preserve"> </w:t>
            </w:r>
            <w:r w:rsidRPr="00596B52">
              <w:rPr>
                <w:rFonts w:ascii="Myriad Pro" w:eastAsia="Myriad Pro" w:hAnsi="Myriad Pro" w:cs="Myriad Pro"/>
                <w:sz w:val="20"/>
                <w:szCs w:val="20"/>
                <w:lang w:val="en-US"/>
              </w:rPr>
              <w:t>after the day of receiving the relevant request</w:t>
            </w:r>
          </w:p>
          <w:p w14:paraId="4EB83AD8" w14:textId="2DC17CF4" w:rsidR="002D5E2E" w:rsidRPr="00150F32" w:rsidRDefault="002D5E2E" w:rsidP="000149E8">
            <w:pPr>
              <w:jc w:val="both"/>
              <w:rPr>
                <w:rFonts w:ascii="Myriad Pro" w:eastAsia="Myriad Pro" w:hAnsi="Myriad Pro" w:cs="Myriad Pro"/>
                <w:sz w:val="20"/>
                <w:szCs w:val="20"/>
                <w:lang w:val="en-US"/>
              </w:rPr>
            </w:pPr>
          </w:p>
        </w:tc>
      </w:tr>
      <w:tr w:rsidR="002D5E2E" w:rsidRPr="00150F32" w14:paraId="4F6CA2A8" w14:textId="77777777" w:rsidTr="00742847">
        <w:trPr>
          <w:jc w:val="center"/>
        </w:trPr>
        <w:tc>
          <w:tcPr>
            <w:tcW w:w="534" w:type="dxa"/>
          </w:tcPr>
          <w:p w14:paraId="0912B035" w14:textId="4AB93A7E" w:rsidR="002D5E2E" w:rsidRPr="00150F32" w:rsidRDefault="002D5E2E" w:rsidP="002D5E2E">
            <w:pPr>
              <w:jc w:val="center"/>
              <w:rPr>
                <w:rFonts w:ascii="Myriad Pro" w:eastAsia="Myriad Pro" w:hAnsi="Myriad Pro" w:cs="Myriad Pro"/>
                <w:sz w:val="20"/>
                <w:szCs w:val="20"/>
                <w:lang w:val="en-US"/>
              </w:rPr>
            </w:pPr>
            <w:r w:rsidRPr="00150F32">
              <w:rPr>
                <w:rFonts w:ascii="Myriad Pro" w:eastAsia="Myriad Pro" w:hAnsi="Myriad Pro" w:cs="Myriad Pro"/>
                <w:sz w:val="20"/>
                <w:szCs w:val="20"/>
                <w:lang w:val="en-US"/>
              </w:rPr>
              <w:t>1</w:t>
            </w:r>
            <w:r w:rsidR="00037D4A" w:rsidRPr="00150F32">
              <w:rPr>
                <w:rFonts w:ascii="Myriad Pro" w:eastAsia="Myriad Pro" w:hAnsi="Myriad Pro" w:cs="Myriad Pro"/>
                <w:sz w:val="20"/>
                <w:szCs w:val="20"/>
                <w:lang w:val="en-US"/>
              </w:rPr>
              <w:t>0.</w:t>
            </w:r>
          </w:p>
        </w:tc>
        <w:tc>
          <w:tcPr>
            <w:tcW w:w="2199" w:type="dxa"/>
          </w:tcPr>
          <w:p w14:paraId="2CFEA118" w14:textId="0359DAA3" w:rsidR="002D5E2E" w:rsidRPr="00150F32" w:rsidRDefault="00150F32" w:rsidP="002D5E2E">
            <w:pPr>
              <w:rPr>
                <w:rFonts w:ascii="Myriad Pro" w:eastAsia="Myriad Pro" w:hAnsi="Myriad Pro" w:cs="Myriad Pro"/>
                <w:sz w:val="20"/>
                <w:szCs w:val="20"/>
                <w:lang w:val="en-US"/>
              </w:rPr>
            </w:pPr>
            <w:r w:rsidRPr="00150F32">
              <w:rPr>
                <w:rFonts w:ascii="Myriad Pro" w:eastAsia="Myriad Pro" w:hAnsi="Myriad Pro" w:cs="Myriad Pro"/>
                <w:sz w:val="20"/>
                <w:szCs w:val="20"/>
                <w:lang w:val="en-US"/>
              </w:rPr>
              <w:t>Attached:</w:t>
            </w:r>
          </w:p>
        </w:tc>
        <w:tc>
          <w:tcPr>
            <w:tcW w:w="6760" w:type="dxa"/>
          </w:tcPr>
          <w:p w14:paraId="6C68AD82" w14:textId="3EF44914" w:rsidR="0028410D" w:rsidRPr="00150F32" w:rsidRDefault="000149E8" w:rsidP="001B1B7D">
            <w:pPr>
              <w:pStyle w:val="ListParagraph"/>
              <w:numPr>
                <w:ilvl w:val="0"/>
                <w:numId w:val="12"/>
              </w:num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Draft Regulations</w:t>
            </w:r>
            <w:r w:rsidR="0028410D" w:rsidRPr="00150F32">
              <w:rPr>
                <w:rFonts w:ascii="Myriad Pro" w:eastAsia="Myriad Pro" w:hAnsi="Myriad Pro" w:cs="Myriad Pro"/>
                <w:sz w:val="20"/>
                <w:szCs w:val="20"/>
                <w:lang w:val="en-US"/>
              </w:rPr>
              <w:t>;</w:t>
            </w:r>
          </w:p>
          <w:p w14:paraId="3F76E644" w14:textId="53AEFD81" w:rsidR="00DE3EE4" w:rsidRPr="00E16615" w:rsidRDefault="000149E8" w:rsidP="00E16615">
            <w:pPr>
              <w:pStyle w:val="ListParagraph"/>
              <w:numPr>
                <w:ilvl w:val="0"/>
                <w:numId w:val="12"/>
              </w:numPr>
              <w:jc w:val="both"/>
              <w:rPr>
                <w:rFonts w:ascii="Myriad Pro" w:eastAsia="Myriad Pro" w:hAnsi="Myriad Pro" w:cs="Myriad Pro"/>
                <w:sz w:val="20"/>
                <w:szCs w:val="20"/>
                <w:lang w:val="en-US"/>
              </w:rPr>
            </w:pPr>
            <w:r w:rsidRPr="00150F32">
              <w:rPr>
                <w:rFonts w:ascii="Myriad Pro" w:eastAsia="Myriad Pro" w:hAnsi="Myriad Pro" w:cs="Myriad Pro"/>
                <w:sz w:val="20"/>
                <w:szCs w:val="20"/>
                <w:lang w:val="en-US"/>
              </w:rPr>
              <w:t>Draft Technical specification</w:t>
            </w:r>
            <w:r w:rsidR="0028410D" w:rsidRPr="00150F32">
              <w:rPr>
                <w:rFonts w:ascii="Myriad Pro" w:eastAsia="Myriad Pro" w:hAnsi="Myriad Pro" w:cs="Myriad Pro"/>
                <w:sz w:val="20"/>
                <w:szCs w:val="20"/>
                <w:lang w:val="en-US"/>
              </w:rPr>
              <w:t>;</w:t>
            </w:r>
          </w:p>
        </w:tc>
      </w:tr>
    </w:tbl>
    <w:p w14:paraId="1CA4A27B" w14:textId="17DBF199" w:rsidR="00A65DD0" w:rsidRPr="00150F32" w:rsidRDefault="00A65DD0" w:rsidP="001E578D">
      <w:pPr>
        <w:rPr>
          <w:rFonts w:ascii="Myriad Pro" w:eastAsia="Myriad Pro" w:hAnsi="Myriad Pro" w:cs="Myriad Pro"/>
          <w:sz w:val="20"/>
          <w:szCs w:val="20"/>
          <w:lang w:val="en-US"/>
        </w:rPr>
      </w:pPr>
    </w:p>
    <w:sectPr w:rsidR="00A65DD0" w:rsidRPr="00150F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043"/>
    <w:multiLevelType w:val="hybridMultilevel"/>
    <w:tmpl w:val="9800B6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1352C7"/>
    <w:multiLevelType w:val="multilevel"/>
    <w:tmpl w:val="BBAE814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12D76C6D"/>
    <w:multiLevelType w:val="hybridMultilevel"/>
    <w:tmpl w:val="56CC4F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59072C"/>
    <w:multiLevelType w:val="hybridMultilevel"/>
    <w:tmpl w:val="BA9EF4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E051FB"/>
    <w:multiLevelType w:val="hybridMultilevel"/>
    <w:tmpl w:val="87CAF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F71FC0"/>
    <w:multiLevelType w:val="hybridMultilevel"/>
    <w:tmpl w:val="51020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C3076B"/>
    <w:multiLevelType w:val="hybridMultilevel"/>
    <w:tmpl w:val="152ECC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36754C"/>
    <w:multiLevelType w:val="hybridMultilevel"/>
    <w:tmpl w:val="94D66816"/>
    <w:lvl w:ilvl="0" w:tplc="A27603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B25C44"/>
    <w:multiLevelType w:val="multilevel"/>
    <w:tmpl w:val="CC78A0DA"/>
    <w:styleLink w:val="SLONumberings6"/>
    <w:lvl w:ilvl="0">
      <w:start w:val="1"/>
      <w:numFmt w:val="bullet"/>
      <w:lvlText w:val="-"/>
      <w:lvlJc w:val="left"/>
      <w:pPr>
        <w:tabs>
          <w:tab w:val="num" w:pos="964"/>
        </w:tabs>
        <w:ind w:left="964" w:hanging="964"/>
      </w:pPr>
      <w:rPr>
        <w:rFonts w:ascii="Times New Roman" w:eastAsia="Times New Roman" w:hAnsi="Times New Roman" w:cs="Times New Roman" w:hint="default"/>
      </w:r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7F45BF5"/>
    <w:multiLevelType w:val="hybridMultilevel"/>
    <w:tmpl w:val="CE9A970A"/>
    <w:lvl w:ilvl="0" w:tplc="04260001">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10" w15:restartNumberingAfterBreak="0">
    <w:nsid w:val="6974681C"/>
    <w:multiLevelType w:val="hybridMultilevel"/>
    <w:tmpl w:val="B5924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6101B23"/>
    <w:multiLevelType w:val="hybridMultilevel"/>
    <w:tmpl w:val="E028D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7484685">
    <w:abstractNumId w:val="2"/>
  </w:num>
  <w:num w:numId="2" w16cid:durableId="1625234198">
    <w:abstractNumId w:val="10"/>
  </w:num>
  <w:num w:numId="3" w16cid:durableId="934629620">
    <w:abstractNumId w:val="7"/>
  </w:num>
  <w:num w:numId="4" w16cid:durableId="2099478406">
    <w:abstractNumId w:val="6"/>
  </w:num>
  <w:num w:numId="5" w16cid:durableId="1072195778">
    <w:abstractNumId w:val="5"/>
  </w:num>
  <w:num w:numId="6" w16cid:durableId="698895385">
    <w:abstractNumId w:val="11"/>
  </w:num>
  <w:num w:numId="7" w16cid:durableId="1562325381">
    <w:abstractNumId w:val="0"/>
  </w:num>
  <w:num w:numId="8" w16cid:durableId="869149539">
    <w:abstractNumId w:val="9"/>
  </w:num>
  <w:num w:numId="9" w16cid:durableId="1265648951">
    <w:abstractNumId w:val="1"/>
  </w:num>
  <w:num w:numId="10" w16cid:durableId="1241600521">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0388709">
    <w:abstractNumId w:val="4"/>
  </w:num>
  <w:num w:numId="12" w16cid:durableId="527837281">
    <w:abstractNumId w:val="3"/>
  </w:num>
  <w:num w:numId="13" w16cid:durableId="455150080">
    <w:abstractNumId w:val="8"/>
    <w:lvlOverride w:ilvl="0">
      <w:lvl w:ilvl="0">
        <w:start w:val="1"/>
        <w:numFmt w:val="bullet"/>
        <w:lvlText w:val="-"/>
        <w:lvlJc w:val="left"/>
        <w:pPr>
          <w:tabs>
            <w:tab w:val="num" w:pos="964"/>
          </w:tabs>
          <w:ind w:left="964" w:hanging="964"/>
        </w:pPr>
        <w:rPr>
          <w:rFonts w:ascii="Times New Roman" w:eastAsia="Times New Roman" w:hAnsi="Times New Roman" w:cs="Times New Roman" w:hint="default"/>
        </w:r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4" w16cid:durableId="724959563">
    <w:abstractNumId w:val="8"/>
    <w:lvlOverride w:ilvl="0">
      <w:lvl w:ilvl="0">
        <w:start w:val="1"/>
        <w:numFmt w:val="decimal"/>
        <w:lvlRestart w:val="0"/>
        <w:lvlText w:val="%1."/>
        <w:lvlJc w:val="left"/>
        <w:pPr>
          <w:tabs>
            <w:tab w:val="num" w:pos="964"/>
          </w:tabs>
          <w:ind w:left="964" w:hanging="964"/>
        </w:pPr>
      </w:lvl>
    </w:lvlOverride>
    <w:lvlOverride w:ilvl="1">
      <w:lvl w:ilvl="1">
        <w:start w:val="1"/>
        <w:numFmt w:val="decimal"/>
        <w:pStyle w:val="2ndlevelheading"/>
        <w:lvlText w:val="%1.%2."/>
        <w:lvlJc w:val="left"/>
        <w:pPr>
          <w:tabs>
            <w:tab w:val="num" w:pos="1106"/>
          </w:tabs>
          <w:ind w:left="1106" w:hanging="964"/>
        </w:pPr>
        <w:rPr>
          <w:b w:val="0"/>
          <w:bCs/>
        </w:r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5" w16cid:durableId="373434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F0"/>
    <w:rsid w:val="00007E80"/>
    <w:rsid w:val="000132F8"/>
    <w:rsid w:val="000149E8"/>
    <w:rsid w:val="00037D4A"/>
    <w:rsid w:val="00040FC4"/>
    <w:rsid w:val="000712C2"/>
    <w:rsid w:val="00073637"/>
    <w:rsid w:val="00073F1C"/>
    <w:rsid w:val="00074D6E"/>
    <w:rsid w:val="000757F5"/>
    <w:rsid w:val="000C4760"/>
    <w:rsid w:val="000C56AF"/>
    <w:rsid w:val="000C7015"/>
    <w:rsid w:val="000C7D15"/>
    <w:rsid w:val="000C7DE7"/>
    <w:rsid w:val="000D036F"/>
    <w:rsid w:val="000D1A67"/>
    <w:rsid w:val="000D5F59"/>
    <w:rsid w:val="000F0505"/>
    <w:rsid w:val="000F4A72"/>
    <w:rsid w:val="00141069"/>
    <w:rsid w:val="00144891"/>
    <w:rsid w:val="00150F32"/>
    <w:rsid w:val="0015187B"/>
    <w:rsid w:val="00177DB7"/>
    <w:rsid w:val="00186DF0"/>
    <w:rsid w:val="001A4FAE"/>
    <w:rsid w:val="001B0DC0"/>
    <w:rsid w:val="001B1B7D"/>
    <w:rsid w:val="001B2A92"/>
    <w:rsid w:val="001B69A4"/>
    <w:rsid w:val="001C3E07"/>
    <w:rsid w:val="001D42BF"/>
    <w:rsid w:val="001E578D"/>
    <w:rsid w:val="001F1E56"/>
    <w:rsid w:val="0020492D"/>
    <w:rsid w:val="00217E7F"/>
    <w:rsid w:val="0022116C"/>
    <w:rsid w:val="00222D9D"/>
    <w:rsid w:val="002245E8"/>
    <w:rsid w:val="00225441"/>
    <w:rsid w:val="00233F0C"/>
    <w:rsid w:val="00244717"/>
    <w:rsid w:val="00260534"/>
    <w:rsid w:val="0028410D"/>
    <w:rsid w:val="0029659C"/>
    <w:rsid w:val="002A04BB"/>
    <w:rsid w:val="002A0D91"/>
    <w:rsid w:val="002A4914"/>
    <w:rsid w:val="002A4CE5"/>
    <w:rsid w:val="002A6F32"/>
    <w:rsid w:val="002D5E2E"/>
    <w:rsid w:val="002E265C"/>
    <w:rsid w:val="002E2C93"/>
    <w:rsid w:val="00303C2A"/>
    <w:rsid w:val="0030781D"/>
    <w:rsid w:val="00312726"/>
    <w:rsid w:val="00346D1F"/>
    <w:rsid w:val="00380032"/>
    <w:rsid w:val="0038147D"/>
    <w:rsid w:val="003A3023"/>
    <w:rsid w:val="003A384E"/>
    <w:rsid w:val="003B43EB"/>
    <w:rsid w:val="003C74D5"/>
    <w:rsid w:val="003D2DC8"/>
    <w:rsid w:val="003D5FF9"/>
    <w:rsid w:val="003D6679"/>
    <w:rsid w:val="003E3279"/>
    <w:rsid w:val="003F12C6"/>
    <w:rsid w:val="00404A01"/>
    <w:rsid w:val="00416C3D"/>
    <w:rsid w:val="00420719"/>
    <w:rsid w:val="00430192"/>
    <w:rsid w:val="00432B08"/>
    <w:rsid w:val="00444677"/>
    <w:rsid w:val="0046248C"/>
    <w:rsid w:val="004629F0"/>
    <w:rsid w:val="004700F6"/>
    <w:rsid w:val="00496E70"/>
    <w:rsid w:val="00497F9C"/>
    <w:rsid w:val="004C1BD8"/>
    <w:rsid w:val="004D0411"/>
    <w:rsid w:val="004D2048"/>
    <w:rsid w:val="004D45AC"/>
    <w:rsid w:val="00505130"/>
    <w:rsid w:val="00507250"/>
    <w:rsid w:val="00526B9B"/>
    <w:rsid w:val="00545E43"/>
    <w:rsid w:val="00557285"/>
    <w:rsid w:val="00571050"/>
    <w:rsid w:val="00571A00"/>
    <w:rsid w:val="005752F0"/>
    <w:rsid w:val="00583788"/>
    <w:rsid w:val="00587FB0"/>
    <w:rsid w:val="00590B56"/>
    <w:rsid w:val="00596B52"/>
    <w:rsid w:val="005A5AF0"/>
    <w:rsid w:val="005B45E4"/>
    <w:rsid w:val="005C3E60"/>
    <w:rsid w:val="005C4BDD"/>
    <w:rsid w:val="005F0548"/>
    <w:rsid w:val="005F2CF2"/>
    <w:rsid w:val="00601694"/>
    <w:rsid w:val="00603811"/>
    <w:rsid w:val="00630861"/>
    <w:rsid w:val="00630BB7"/>
    <w:rsid w:val="0064300C"/>
    <w:rsid w:val="00645F67"/>
    <w:rsid w:val="0064668C"/>
    <w:rsid w:val="00661C6D"/>
    <w:rsid w:val="00676E57"/>
    <w:rsid w:val="00691117"/>
    <w:rsid w:val="0069656D"/>
    <w:rsid w:val="006A6FDA"/>
    <w:rsid w:val="006D388E"/>
    <w:rsid w:val="006F0C5C"/>
    <w:rsid w:val="00700219"/>
    <w:rsid w:val="0073150B"/>
    <w:rsid w:val="00742847"/>
    <w:rsid w:val="00743D8B"/>
    <w:rsid w:val="007564F6"/>
    <w:rsid w:val="0076530A"/>
    <w:rsid w:val="00781257"/>
    <w:rsid w:val="00782AF5"/>
    <w:rsid w:val="007A07CC"/>
    <w:rsid w:val="007B0980"/>
    <w:rsid w:val="007F20AD"/>
    <w:rsid w:val="007F623E"/>
    <w:rsid w:val="00804781"/>
    <w:rsid w:val="0080715F"/>
    <w:rsid w:val="00842F0D"/>
    <w:rsid w:val="008436B9"/>
    <w:rsid w:val="008443D5"/>
    <w:rsid w:val="00845946"/>
    <w:rsid w:val="0086098E"/>
    <w:rsid w:val="00860F39"/>
    <w:rsid w:val="008628E2"/>
    <w:rsid w:val="0086555E"/>
    <w:rsid w:val="00882A3A"/>
    <w:rsid w:val="00896F50"/>
    <w:rsid w:val="008A00FA"/>
    <w:rsid w:val="008A6B27"/>
    <w:rsid w:val="008A7038"/>
    <w:rsid w:val="008B4139"/>
    <w:rsid w:val="008B52C6"/>
    <w:rsid w:val="008C1BF7"/>
    <w:rsid w:val="008C243F"/>
    <w:rsid w:val="008E0030"/>
    <w:rsid w:val="008F1C4A"/>
    <w:rsid w:val="008F36BA"/>
    <w:rsid w:val="009020E6"/>
    <w:rsid w:val="00930B96"/>
    <w:rsid w:val="009353D2"/>
    <w:rsid w:val="00936744"/>
    <w:rsid w:val="00942A8E"/>
    <w:rsid w:val="00961C3F"/>
    <w:rsid w:val="009627A9"/>
    <w:rsid w:val="00977A35"/>
    <w:rsid w:val="00981F9E"/>
    <w:rsid w:val="0098400C"/>
    <w:rsid w:val="00997EBC"/>
    <w:rsid w:val="009A324E"/>
    <w:rsid w:val="009B3F65"/>
    <w:rsid w:val="009C0702"/>
    <w:rsid w:val="009C4C7F"/>
    <w:rsid w:val="009C77F0"/>
    <w:rsid w:val="009D5BA9"/>
    <w:rsid w:val="009D5F88"/>
    <w:rsid w:val="00A00D72"/>
    <w:rsid w:val="00A03575"/>
    <w:rsid w:val="00A11DD9"/>
    <w:rsid w:val="00A202D2"/>
    <w:rsid w:val="00A23D03"/>
    <w:rsid w:val="00A43C79"/>
    <w:rsid w:val="00A461EB"/>
    <w:rsid w:val="00A5093F"/>
    <w:rsid w:val="00A65DD0"/>
    <w:rsid w:val="00A71EE3"/>
    <w:rsid w:val="00A93EEF"/>
    <w:rsid w:val="00AB14D7"/>
    <w:rsid w:val="00AC6709"/>
    <w:rsid w:val="00AD18A0"/>
    <w:rsid w:val="00AD4882"/>
    <w:rsid w:val="00AD7F64"/>
    <w:rsid w:val="00AE4662"/>
    <w:rsid w:val="00AE7257"/>
    <w:rsid w:val="00AF602E"/>
    <w:rsid w:val="00B03EE9"/>
    <w:rsid w:val="00B14B0B"/>
    <w:rsid w:val="00B16F7C"/>
    <w:rsid w:val="00B17D41"/>
    <w:rsid w:val="00B24649"/>
    <w:rsid w:val="00B25DAC"/>
    <w:rsid w:val="00B33FC2"/>
    <w:rsid w:val="00B421B4"/>
    <w:rsid w:val="00B82CBE"/>
    <w:rsid w:val="00B92509"/>
    <w:rsid w:val="00BA4516"/>
    <w:rsid w:val="00BB0B9F"/>
    <w:rsid w:val="00BB74AB"/>
    <w:rsid w:val="00BC1D31"/>
    <w:rsid w:val="00BC500E"/>
    <w:rsid w:val="00BC608D"/>
    <w:rsid w:val="00BD2C82"/>
    <w:rsid w:val="00BE43DA"/>
    <w:rsid w:val="00C00DBB"/>
    <w:rsid w:val="00C04819"/>
    <w:rsid w:val="00C16C1D"/>
    <w:rsid w:val="00C17881"/>
    <w:rsid w:val="00C236B6"/>
    <w:rsid w:val="00C45380"/>
    <w:rsid w:val="00C461CF"/>
    <w:rsid w:val="00C72F0F"/>
    <w:rsid w:val="00C73E95"/>
    <w:rsid w:val="00CB2956"/>
    <w:rsid w:val="00CB66A5"/>
    <w:rsid w:val="00CD7B43"/>
    <w:rsid w:val="00CE2B4D"/>
    <w:rsid w:val="00CF4A50"/>
    <w:rsid w:val="00CF556A"/>
    <w:rsid w:val="00D1752C"/>
    <w:rsid w:val="00D27C0A"/>
    <w:rsid w:val="00D337D3"/>
    <w:rsid w:val="00D46BBC"/>
    <w:rsid w:val="00D53E8E"/>
    <w:rsid w:val="00D6013A"/>
    <w:rsid w:val="00D64AF7"/>
    <w:rsid w:val="00D708C7"/>
    <w:rsid w:val="00D7488A"/>
    <w:rsid w:val="00D74A58"/>
    <w:rsid w:val="00D8495A"/>
    <w:rsid w:val="00DB2FCA"/>
    <w:rsid w:val="00DB6F65"/>
    <w:rsid w:val="00DE1E84"/>
    <w:rsid w:val="00DE3A94"/>
    <w:rsid w:val="00DE3EE4"/>
    <w:rsid w:val="00E02EC4"/>
    <w:rsid w:val="00E14812"/>
    <w:rsid w:val="00E16615"/>
    <w:rsid w:val="00E36383"/>
    <w:rsid w:val="00E45E73"/>
    <w:rsid w:val="00E614C9"/>
    <w:rsid w:val="00E61CF9"/>
    <w:rsid w:val="00E72366"/>
    <w:rsid w:val="00E75C60"/>
    <w:rsid w:val="00E85257"/>
    <w:rsid w:val="00E928E3"/>
    <w:rsid w:val="00E95246"/>
    <w:rsid w:val="00EA0E48"/>
    <w:rsid w:val="00EA2DC8"/>
    <w:rsid w:val="00EA5D1F"/>
    <w:rsid w:val="00EE12B3"/>
    <w:rsid w:val="00EF25CC"/>
    <w:rsid w:val="00EF4558"/>
    <w:rsid w:val="00EF5E8A"/>
    <w:rsid w:val="00F0117F"/>
    <w:rsid w:val="00F07CDD"/>
    <w:rsid w:val="00F142F8"/>
    <w:rsid w:val="00F150C6"/>
    <w:rsid w:val="00F40E77"/>
    <w:rsid w:val="00F700AA"/>
    <w:rsid w:val="00F855CF"/>
    <w:rsid w:val="00F90B22"/>
    <w:rsid w:val="00F91DB4"/>
    <w:rsid w:val="00F974D4"/>
    <w:rsid w:val="00FD530B"/>
    <w:rsid w:val="00FD5C07"/>
    <w:rsid w:val="00FE1996"/>
    <w:rsid w:val="00FE26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87"/>
  <w15:docId w15:val="{40BBF9A6-5A9F-4155-9596-F46CCEAC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4668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DD0"/>
    <w:pPr>
      <w:ind w:left="720"/>
      <w:contextualSpacing/>
    </w:pPr>
  </w:style>
  <w:style w:type="character" w:styleId="Hyperlink">
    <w:name w:val="Hyperlink"/>
    <w:basedOn w:val="DefaultParagraphFont"/>
    <w:uiPriority w:val="99"/>
    <w:unhideWhenUsed/>
    <w:rsid w:val="00A65DD0"/>
    <w:rPr>
      <w:color w:val="0563C1" w:themeColor="hyperlink"/>
      <w:u w:val="single"/>
    </w:rPr>
  </w:style>
  <w:style w:type="paragraph" w:styleId="NoSpacing">
    <w:name w:val="No Spacing"/>
    <w:uiPriority w:val="1"/>
    <w:qFormat/>
    <w:rsid w:val="00B24649"/>
    <w:pPr>
      <w:spacing w:after="0" w:line="240" w:lineRule="auto"/>
    </w:pPr>
  </w:style>
  <w:style w:type="character" w:customStyle="1" w:styleId="Heading4Char">
    <w:name w:val="Heading 4 Char"/>
    <w:basedOn w:val="DefaultParagraphFont"/>
    <w:link w:val="Heading4"/>
    <w:uiPriority w:val="9"/>
    <w:rsid w:val="0064668C"/>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64668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630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
    <w:name w:val="Body text + 11 pt"/>
    <w:basedOn w:val="DefaultParagraphFont"/>
    <w:rsid w:val="00630B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11ptItalic">
    <w:name w:val="Body text + 11 pt;Italic"/>
    <w:basedOn w:val="DefaultParagraphFont"/>
    <w:rsid w:val="00630BB7"/>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styleId="UnresolvedMention">
    <w:name w:val="Unresolved Mention"/>
    <w:basedOn w:val="DefaultParagraphFont"/>
    <w:uiPriority w:val="99"/>
    <w:semiHidden/>
    <w:unhideWhenUsed/>
    <w:rsid w:val="0029659C"/>
    <w:rPr>
      <w:color w:val="605E5C"/>
      <w:shd w:val="clear" w:color="auto" w:fill="E1DFDD"/>
    </w:rPr>
  </w:style>
  <w:style w:type="character" w:styleId="CommentReference">
    <w:name w:val="annotation reference"/>
    <w:basedOn w:val="DefaultParagraphFont"/>
    <w:uiPriority w:val="99"/>
    <w:unhideWhenUsed/>
    <w:rsid w:val="007F623E"/>
    <w:rPr>
      <w:sz w:val="16"/>
      <w:szCs w:val="16"/>
    </w:rPr>
  </w:style>
  <w:style w:type="paragraph" w:styleId="CommentText">
    <w:name w:val="annotation text"/>
    <w:basedOn w:val="Normal"/>
    <w:link w:val="CommentTextChar"/>
    <w:uiPriority w:val="99"/>
    <w:unhideWhenUsed/>
    <w:rsid w:val="007F623E"/>
    <w:pPr>
      <w:spacing w:line="240" w:lineRule="auto"/>
    </w:pPr>
    <w:rPr>
      <w:sz w:val="20"/>
      <w:szCs w:val="20"/>
    </w:rPr>
  </w:style>
  <w:style w:type="character" w:customStyle="1" w:styleId="CommentTextChar">
    <w:name w:val="Comment Text Char"/>
    <w:basedOn w:val="DefaultParagraphFont"/>
    <w:link w:val="CommentText"/>
    <w:uiPriority w:val="99"/>
    <w:rsid w:val="007F623E"/>
    <w:rPr>
      <w:sz w:val="20"/>
      <w:szCs w:val="20"/>
    </w:rPr>
  </w:style>
  <w:style w:type="paragraph" w:styleId="CommentSubject">
    <w:name w:val="annotation subject"/>
    <w:basedOn w:val="CommentText"/>
    <w:next w:val="CommentText"/>
    <w:link w:val="CommentSubjectChar"/>
    <w:uiPriority w:val="99"/>
    <w:semiHidden/>
    <w:unhideWhenUsed/>
    <w:rsid w:val="007F623E"/>
    <w:rPr>
      <w:b/>
      <w:bCs/>
    </w:rPr>
  </w:style>
  <w:style w:type="character" w:customStyle="1" w:styleId="CommentSubjectChar">
    <w:name w:val="Comment Subject Char"/>
    <w:basedOn w:val="CommentTextChar"/>
    <w:link w:val="CommentSubject"/>
    <w:uiPriority w:val="99"/>
    <w:semiHidden/>
    <w:rsid w:val="007F623E"/>
    <w:rPr>
      <w:b/>
      <w:bCs/>
      <w:sz w:val="20"/>
      <w:szCs w:val="20"/>
    </w:rPr>
  </w:style>
  <w:style w:type="character" w:styleId="FollowedHyperlink">
    <w:name w:val="FollowedHyperlink"/>
    <w:basedOn w:val="DefaultParagraphFont"/>
    <w:uiPriority w:val="99"/>
    <w:semiHidden/>
    <w:unhideWhenUsed/>
    <w:rsid w:val="001A4FAE"/>
    <w:rPr>
      <w:color w:val="954F72" w:themeColor="followedHyperlink"/>
      <w:u w:val="single"/>
    </w:rPr>
  </w:style>
  <w:style w:type="paragraph" w:customStyle="1" w:styleId="Heading42">
    <w:name w:val="Heading 42"/>
    <w:basedOn w:val="Normal"/>
    <w:rsid w:val="00BC608D"/>
    <w:pPr>
      <w:widowControl w:val="0"/>
      <w:shd w:val="clear" w:color="auto" w:fill="FFFFFF"/>
      <w:spacing w:before="60" w:after="360" w:line="0" w:lineRule="atLeast"/>
      <w:jc w:val="center"/>
      <w:outlineLvl w:val="3"/>
    </w:pPr>
    <w:rPr>
      <w:b/>
      <w:bCs/>
      <w:lang w:val="en-US"/>
    </w:rPr>
  </w:style>
  <w:style w:type="paragraph" w:customStyle="1" w:styleId="2ndlevelheading">
    <w:name w:val="2nd level (heading)"/>
    <w:basedOn w:val="Normal"/>
    <w:next w:val="Normal"/>
    <w:uiPriority w:val="1"/>
    <w:qFormat/>
    <w:rsid w:val="00A461EB"/>
    <w:pPr>
      <w:numPr>
        <w:ilvl w:val="1"/>
        <w:numId w:val="13"/>
      </w:numPr>
      <w:spacing w:before="240" w:after="240" w:line="240" w:lineRule="auto"/>
      <w:jc w:val="both"/>
      <w:outlineLvl w:val="1"/>
    </w:pPr>
    <w:rPr>
      <w:rFonts w:ascii="Myriad Pro" w:eastAsia="Times New Roman" w:hAnsi="Myriad Pro" w:cs="Times New Roman"/>
      <w:b/>
      <w:sz w:val="20"/>
      <w:szCs w:val="24"/>
      <w:lang w:val="en-GB"/>
    </w:rPr>
  </w:style>
  <w:style w:type="paragraph" w:customStyle="1" w:styleId="3rdlevelheading">
    <w:name w:val="3rd level (heading)"/>
    <w:basedOn w:val="2ndlevelheading"/>
    <w:next w:val="Normal"/>
    <w:uiPriority w:val="1"/>
    <w:qFormat/>
    <w:rsid w:val="00A461EB"/>
    <w:pPr>
      <w:numPr>
        <w:ilvl w:val="2"/>
      </w:numPr>
      <w:outlineLvl w:val="2"/>
    </w:pPr>
    <w:rPr>
      <w:i/>
    </w:rPr>
  </w:style>
  <w:style w:type="paragraph" w:customStyle="1" w:styleId="4thlevelheading">
    <w:name w:val="4th level (heading)"/>
    <w:basedOn w:val="3rdlevelheading"/>
    <w:next w:val="Normal"/>
    <w:uiPriority w:val="1"/>
    <w:qFormat/>
    <w:rsid w:val="00A461EB"/>
    <w:pPr>
      <w:numPr>
        <w:ilvl w:val="3"/>
      </w:numPr>
      <w:spacing w:after="120"/>
      <w:outlineLvl w:val="3"/>
    </w:pPr>
    <w:rPr>
      <w:b w:val="0"/>
    </w:rPr>
  </w:style>
  <w:style w:type="paragraph" w:customStyle="1" w:styleId="5thlevelheading">
    <w:name w:val="5th level (heading)"/>
    <w:basedOn w:val="4thlevelheading"/>
    <w:next w:val="Normal"/>
    <w:uiPriority w:val="1"/>
    <w:qFormat/>
    <w:rsid w:val="00A461EB"/>
    <w:pPr>
      <w:numPr>
        <w:ilvl w:val="4"/>
      </w:numPr>
      <w:outlineLvl w:val="4"/>
    </w:pPr>
    <w:rPr>
      <w:i w:val="0"/>
      <w:u w:val="single"/>
    </w:rPr>
  </w:style>
  <w:style w:type="character" w:styleId="Mention">
    <w:name w:val="Mention"/>
    <w:basedOn w:val="DefaultParagraphFont"/>
    <w:uiPriority w:val="99"/>
    <w:unhideWhenUsed/>
    <w:rsid w:val="00A461EB"/>
    <w:rPr>
      <w:color w:val="2B579A"/>
      <w:shd w:val="clear" w:color="auto" w:fill="E6E6E6"/>
    </w:rPr>
  </w:style>
  <w:style w:type="numbering" w:customStyle="1" w:styleId="SLONumberings6">
    <w:name w:val="SLO_Numberings6"/>
    <w:uiPriority w:val="99"/>
    <w:rsid w:val="00A461E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2550">
      <w:bodyDiv w:val="1"/>
      <w:marLeft w:val="0"/>
      <w:marRight w:val="0"/>
      <w:marTop w:val="0"/>
      <w:marBottom w:val="0"/>
      <w:divBdr>
        <w:top w:val="none" w:sz="0" w:space="0" w:color="auto"/>
        <w:left w:val="none" w:sz="0" w:space="0" w:color="auto"/>
        <w:bottom w:val="none" w:sz="0" w:space="0" w:color="auto"/>
        <w:right w:val="none" w:sz="0" w:space="0" w:color="auto"/>
      </w:divBdr>
      <w:divsChild>
        <w:div w:id="1160268119">
          <w:marLeft w:val="0"/>
          <w:marRight w:val="0"/>
          <w:marTop w:val="0"/>
          <w:marBottom w:val="0"/>
          <w:divBdr>
            <w:top w:val="none" w:sz="0" w:space="0" w:color="auto"/>
            <w:left w:val="none" w:sz="0" w:space="0" w:color="auto"/>
            <w:bottom w:val="none" w:sz="0" w:space="0" w:color="auto"/>
            <w:right w:val="none" w:sz="0" w:space="0" w:color="auto"/>
          </w:divBdr>
          <w:divsChild>
            <w:div w:id="17767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8111">
      <w:bodyDiv w:val="1"/>
      <w:marLeft w:val="0"/>
      <w:marRight w:val="0"/>
      <w:marTop w:val="0"/>
      <w:marBottom w:val="0"/>
      <w:divBdr>
        <w:top w:val="none" w:sz="0" w:space="0" w:color="auto"/>
        <w:left w:val="none" w:sz="0" w:space="0" w:color="auto"/>
        <w:bottom w:val="none" w:sz="0" w:space="0" w:color="auto"/>
        <w:right w:val="none" w:sz="0" w:space="0" w:color="auto"/>
      </w:divBdr>
    </w:div>
    <w:div w:id="1354721907">
      <w:bodyDiv w:val="1"/>
      <w:marLeft w:val="0"/>
      <w:marRight w:val="0"/>
      <w:marTop w:val="0"/>
      <w:marBottom w:val="0"/>
      <w:divBdr>
        <w:top w:val="none" w:sz="0" w:space="0" w:color="auto"/>
        <w:left w:val="none" w:sz="0" w:space="0" w:color="auto"/>
        <w:bottom w:val="none" w:sz="0" w:space="0" w:color="auto"/>
        <w:right w:val="none" w:sz="0" w:space="0" w:color="auto"/>
      </w:divBdr>
    </w:div>
    <w:div w:id="1544175582">
      <w:bodyDiv w:val="1"/>
      <w:marLeft w:val="0"/>
      <w:marRight w:val="0"/>
      <w:marTop w:val="0"/>
      <w:marBottom w:val="0"/>
      <w:divBdr>
        <w:top w:val="none" w:sz="0" w:space="0" w:color="auto"/>
        <w:left w:val="none" w:sz="0" w:space="0" w:color="auto"/>
        <w:bottom w:val="none" w:sz="0" w:space="0" w:color="auto"/>
        <w:right w:val="none" w:sz="0" w:space="0" w:color="auto"/>
      </w:divBdr>
    </w:div>
    <w:div w:id="1776292016">
      <w:bodyDiv w:val="1"/>
      <w:marLeft w:val="0"/>
      <w:marRight w:val="0"/>
      <w:marTop w:val="0"/>
      <w:marBottom w:val="0"/>
      <w:divBdr>
        <w:top w:val="none" w:sz="0" w:space="0" w:color="auto"/>
        <w:left w:val="none" w:sz="0" w:space="0" w:color="auto"/>
        <w:bottom w:val="none" w:sz="0" w:space="0" w:color="auto"/>
        <w:right w:val="none" w:sz="0" w:space="0" w:color="auto"/>
      </w:divBdr>
    </w:div>
    <w:div w:id="20003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nastasija.liduma@railbaltica.org" TargetMode="External"/><Relationship Id="rId4" Type="http://schemas.openxmlformats.org/officeDocument/2006/relationships/customXml" Target="../customXml/item4.xml"/><Relationship Id="rId9" Type="http://schemas.openxmlformats.org/officeDocument/2006/relationships/hyperlink" Target="mailto:Anastasija.liduma@railbalt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8" ma:contentTypeDescription="Izveidot jaunu dokumentu." ma:contentTypeScope="" ma:versionID="d597800f508fe58a696d9210cd6a3b3c">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c4824b223bfef72ec505f11acd9e703"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C0EB3-2F13-42CA-AEB2-1FF92BF8EB32}">
  <ds:schemaRefs>
    <ds:schemaRef ds:uri="http://schemas.openxmlformats.org/officeDocument/2006/bibliography"/>
  </ds:schemaRefs>
</ds:datastoreItem>
</file>

<file path=customXml/itemProps2.xml><?xml version="1.0" encoding="utf-8"?>
<ds:datastoreItem xmlns:ds="http://schemas.openxmlformats.org/officeDocument/2006/customXml" ds:itemID="{95E7C524-E61F-4066-B23D-583F5E6A85F0}"/>
</file>

<file path=customXml/itemProps3.xml><?xml version="1.0" encoding="utf-8"?>
<ds:datastoreItem xmlns:ds="http://schemas.openxmlformats.org/officeDocument/2006/customXml" ds:itemID="{F8C519CB-5EF1-40D9-8C0A-4A674E572C2E}">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4.xml><?xml version="1.0" encoding="utf-8"?>
<ds:datastoreItem xmlns:ds="http://schemas.openxmlformats.org/officeDocument/2006/customXml" ds:itemID="{25A4058A-C2E4-4A61-938B-B90BDC674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448</Words>
  <Characters>2560</Characters>
  <Application>Microsoft Office Word</Application>
  <DocSecurity>0</DocSecurity>
  <Lines>21</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 Kalnina</dc:creator>
  <cp:lastModifiedBy>Anastasija Luceviča</cp:lastModifiedBy>
  <cp:revision>42</cp:revision>
  <cp:lastPrinted>2023-01-05T14:10:00Z</cp:lastPrinted>
  <dcterms:created xsi:type="dcterms:W3CDTF">2024-01-10T14:32:00Z</dcterms:created>
  <dcterms:modified xsi:type="dcterms:W3CDTF">2024-09-23T11:23:00Z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