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A8A7" w14:textId="77777777" w:rsidR="002833D6" w:rsidRPr="00464C76" w:rsidRDefault="002833D6" w:rsidP="004F1898"/>
    <w:p w14:paraId="0A4BC631" w14:textId="77777777" w:rsidR="004A3512" w:rsidRDefault="004A3512" w:rsidP="004A3512">
      <w:pPr>
        <w:spacing w:after="0" w:line="240" w:lineRule="auto"/>
        <w:jc w:val="right"/>
        <w:rPr>
          <w:b/>
        </w:rPr>
      </w:pPr>
      <w:proofErr w:type="spellStart"/>
      <w:r>
        <w:rPr>
          <w:b/>
        </w:rPr>
        <w:t>Electronic</w:t>
      </w:r>
      <w:proofErr w:type="spellEnd"/>
      <w:r>
        <w:rPr>
          <w:b/>
        </w:rPr>
        <w:t xml:space="preserve"> </w:t>
      </w:r>
      <w:proofErr w:type="spellStart"/>
      <w:r>
        <w:rPr>
          <w:b/>
        </w:rPr>
        <w:t>procurement</w:t>
      </w:r>
      <w:proofErr w:type="spellEnd"/>
      <w:r>
        <w:rPr>
          <w:b/>
        </w:rPr>
        <w:t xml:space="preserve"> </w:t>
      </w:r>
      <w:proofErr w:type="spellStart"/>
      <w:r>
        <w:rPr>
          <w:b/>
        </w:rPr>
        <w:t>system</w:t>
      </w:r>
      <w:proofErr w:type="spellEnd"/>
    </w:p>
    <w:p w14:paraId="17FEF143" w14:textId="77777777" w:rsidR="004A3512" w:rsidRDefault="004A3512" w:rsidP="004A3512">
      <w:pPr>
        <w:spacing w:after="0" w:line="240" w:lineRule="auto"/>
        <w:jc w:val="right"/>
        <w:rPr>
          <w:b/>
        </w:rPr>
      </w:pPr>
    </w:p>
    <w:p w14:paraId="2A7A584E" w14:textId="77777777" w:rsidR="004A3512" w:rsidRPr="00F62F5A" w:rsidRDefault="004A3512" w:rsidP="004A3512">
      <w:pPr>
        <w:spacing w:after="0" w:line="240" w:lineRule="auto"/>
        <w:jc w:val="right"/>
        <w:rPr>
          <w:rFonts w:eastAsia="Times New Roman"/>
          <w:lang w:val="en-US"/>
        </w:rPr>
      </w:pPr>
    </w:p>
    <w:p w14:paraId="329A6E52" w14:textId="77777777" w:rsidR="004A3512" w:rsidRPr="00F62F5A" w:rsidRDefault="004A3512" w:rsidP="004A3512">
      <w:pPr>
        <w:spacing w:after="0" w:line="240" w:lineRule="auto"/>
        <w:rPr>
          <w:rFonts w:eastAsia="Times New Roman"/>
          <w:b/>
          <w:bCs/>
          <w:i/>
          <w:iCs/>
          <w:lang w:val="en-US"/>
        </w:rPr>
      </w:pPr>
    </w:p>
    <w:p w14:paraId="69870C4A" w14:textId="77777777" w:rsidR="004A3512" w:rsidRPr="002C6C96" w:rsidRDefault="004A3512" w:rsidP="004A3512">
      <w:pPr>
        <w:spacing w:after="0" w:line="240" w:lineRule="auto"/>
        <w:rPr>
          <w:rFonts w:eastAsia="Times New Roman"/>
          <w:b/>
          <w:bCs/>
          <w:lang w:val="en-US"/>
        </w:rPr>
      </w:pPr>
      <w:r w:rsidRPr="002C6C96">
        <w:rPr>
          <w:rFonts w:eastAsia="Times New Roman"/>
          <w:b/>
          <w:bCs/>
          <w:lang w:val="en-US"/>
        </w:rPr>
        <w:t>Answers to questions from interested suppliers</w:t>
      </w:r>
    </w:p>
    <w:p w14:paraId="7CEF5E2D" w14:textId="77777777" w:rsidR="004A3512" w:rsidRPr="002C6C96" w:rsidRDefault="004A3512" w:rsidP="004A3512">
      <w:pPr>
        <w:spacing w:after="0" w:line="240" w:lineRule="auto"/>
        <w:rPr>
          <w:rFonts w:eastAsia="Times New Roman"/>
          <w:b/>
          <w:bCs/>
          <w:lang w:val="en-US"/>
        </w:rPr>
      </w:pPr>
      <w:r w:rsidRPr="002C6C96">
        <w:rPr>
          <w:rFonts w:eastAsia="Times New Roman"/>
          <w:b/>
          <w:bCs/>
          <w:lang w:val="en-US"/>
        </w:rPr>
        <w:t xml:space="preserve">in the open competition </w:t>
      </w:r>
    </w:p>
    <w:p w14:paraId="05FCE8C0" w14:textId="77777777" w:rsidR="004A3512" w:rsidRPr="002C6C96" w:rsidRDefault="004A3512" w:rsidP="004A3512">
      <w:pPr>
        <w:spacing w:after="0" w:line="240" w:lineRule="auto"/>
        <w:rPr>
          <w:rFonts w:eastAsia="Times New Roman"/>
          <w:b/>
          <w:bCs/>
          <w:lang w:val="en-US"/>
        </w:rPr>
      </w:pPr>
      <w:r w:rsidRPr="002C6C96">
        <w:rPr>
          <w:rFonts w:eastAsia="Times New Roman"/>
          <w:b/>
          <w:bCs/>
          <w:lang w:val="en-US"/>
        </w:rPr>
        <w:t xml:space="preserve">“Tax advisory and reporting services for RB Rail AS”, </w:t>
      </w:r>
    </w:p>
    <w:p w14:paraId="5279BFBA" w14:textId="77777777" w:rsidR="004A3512" w:rsidRPr="002C6C96" w:rsidRDefault="004A3512" w:rsidP="004A3512">
      <w:pPr>
        <w:spacing w:after="0" w:line="240" w:lineRule="auto"/>
        <w:rPr>
          <w:rFonts w:eastAsia="Times New Roman"/>
          <w:b/>
          <w:bCs/>
          <w:lang w:val="en-US"/>
        </w:rPr>
      </w:pPr>
      <w:r w:rsidRPr="002C6C96">
        <w:rPr>
          <w:rFonts w:eastAsia="Times New Roman"/>
          <w:b/>
          <w:bCs/>
          <w:lang w:val="en-US"/>
        </w:rPr>
        <w:t>identification number RBR 2024/9</w:t>
      </w:r>
    </w:p>
    <w:p w14:paraId="23BD2255" w14:textId="77777777" w:rsidR="004A3512" w:rsidRDefault="004A3512" w:rsidP="004A3512">
      <w:pPr>
        <w:spacing w:after="0" w:line="240" w:lineRule="auto"/>
        <w:rPr>
          <w:rFonts w:eastAsia="Times New Roman"/>
          <w:b/>
          <w:bCs/>
          <w:i/>
          <w:iCs/>
          <w:lang w:val="en-US"/>
        </w:rPr>
      </w:pPr>
    </w:p>
    <w:p w14:paraId="29DACF9A" w14:textId="77777777" w:rsidR="004A3512" w:rsidRPr="00C062C2" w:rsidRDefault="004A3512" w:rsidP="004A3512">
      <w:pPr>
        <w:spacing w:after="0" w:line="240" w:lineRule="auto"/>
        <w:rPr>
          <w:rFonts w:eastAsia="Times New Roman"/>
          <w:b/>
          <w:bCs/>
          <w:i/>
          <w:iCs/>
          <w:lang w:val="en-US"/>
        </w:rPr>
      </w:pPr>
    </w:p>
    <w:p w14:paraId="4A5B0DAD" w14:textId="77777777" w:rsidR="004A3512" w:rsidRPr="00C062C2" w:rsidRDefault="004A3512" w:rsidP="004A3512">
      <w:pPr>
        <w:spacing w:after="0" w:line="240" w:lineRule="auto"/>
        <w:ind w:firstLine="720"/>
        <w:jc w:val="both"/>
        <w:rPr>
          <w:rFonts w:eastAsia="Times New Roman"/>
          <w:lang w:val="en-US"/>
        </w:rPr>
      </w:pPr>
      <w:r w:rsidRPr="00C062C2">
        <w:rPr>
          <w:rFonts w:eastAsia="Times New Roman"/>
          <w:lang w:val="en-US"/>
        </w:rPr>
        <w:t>RB Rail AS presents the following answer</w:t>
      </w:r>
      <w:r>
        <w:rPr>
          <w:rFonts w:eastAsia="Times New Roman"/>
          <w:lang w:val="en-US"/>
        </w:rPr>
        <w:t>s</w:t>
      </w:r>
      <w:r w:rsidRPr="00C062C2">
        <w:rPr>
          <w:rFonts w:eastAsia="Times New Roman"/>
          <w:lang w:val="en-US"/>
        </w:rPr>
        <w:t xml:space="preserve"> to question</w:t>
      </w:r>
      <w:r>
        <w:rPr>
          <w:rFonts w:eastAsia="Times New Roman"/>
          <w:lang w:val="en-US"/>
        </w:rPr>
        <w:t>s</w:t>
      </w:r>
      <w:r w:rsidRPr="00C062C2">
        <w:rPr>
          <w:rFonts w:eastAsia="Times New Roman"/>
          <w:lang w:val="en-US"/>
        </w:rPr>
        <w:t xml:space="preserve"> received from interested supplier</w:t>
      </w:r>
      <w:r>
        <w:rPr>
          <w:rFonts w:eastAsia="Times New Roman"/>
          <w:lang w:val="en-US"/>
        </w:rPr>
        <w:t>s</w:t>
      </w:r>
      <w:r w:rsidRPr="00C062C2">
        <w:rPr>
          <w:rFonts w:eastAsia="Times New Roman"/>
          <w:lang w:val="en-US"/>
        </w:rPr>
        <w:t xml:space="preserve"> </w:t>
      </w:r>
      <w:proofErr w:type="gramStart"/>
      <w:r w:rsidRPr="00C062C2">
        <w:rPr>
          <w:rFonts w:eastAsia="Times New Roman"/>
          <w:lang w:val="en-US"/>
        </w:rPr>
        <w:t>until</w:t>
      </w:r>
      <w:proofErr w:type="gramEnd"/>
      <w:r w:rsidRPr="00C062C2">
        <w:rPr>
          <w:rFonts w:eastAsia="Times New Roman"/>
          <w:lang w:val="en-US"/>
        </w:rPr>
        <w:t xml:space="preserve"> </w:t>
      </w:r>
      <w:r>
        <w:rPr>
          <w:rFonts w:eastAsia="Times New Roman"/>
          <w:lang w:val="en-US"/>
        </w:rPr>
        <w:t>19 February 2025</w:t>
      </w:r>
      <w:r w:rsidRPr="00C062C2">
        <w:rPr>
          <w:rFonts w:eastAsia="Times New Roman"/>
          <w:lang w:val="en-US"/>
        </w:rPr>
        <w:t>:</w:t>
      </w:r>
    </w:p>
    <w:p w14:paraId="222891AC" w14:textId="77777777" w:rsidR="004A3512" w:rsidRPr="00C062C2" w:rsidRDefault="004A3512" w:rsidP="004A3512">
      <w:pPr>
        <w:spacing w:after="0" w:line="240" w:lineRule="auto"/>
        <w:jc w:val="both"/>
        <w:rPr>
          <w:rFonts w:eastAsia="Times New Roman"/>
          <w:lang w:val="en-US"/>
        </w:rPr>
      </w:pPr>
    </w:p>
    <w:tbl>
      <w:tblPr>
        <w:tblStyle w:val="TableGrid"/>
        <w:tblW w:w="9492" w:type="dxa"/>
        <w:tblInd w:w="-289"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A0" w:firstRow="1" w:lastRow="0" w:firstColumn="1" w:lastColumn="0" w:noHBand="0" w:noVBand="1"/>
      </w:tblPr>
      <w:tblGrid>
        <w:gridCol w:w="562"/>
        <w:gridCol w:w="4400"/>
        <w:gridCol w:w="4530"/>
      </w:tblGrid>
      <w:tr w:rsidR="004A3512" w:rsidRPr="00354EF4" w14:paraId="538E45F2" w14:textId="77777777" w:rsidTr="002C6C96">
        <w:trPr>
          <w:tblHeader/>
        </w:trPr>
        <w:tc>
          <w:tcPr>
            <w:tcW w:w="562" w:type="dxa"/>
            <w:shd w:val="clear" w:color="auto" w:fill="003787"/>
          </w:tcPr>
          <w:p w14:paraId="09693593" w14:textId="77777777" w:rsidR="004A3512" w:rsidRPr="00354EF4" w:rsidRDefault="004A3512" w:rsidP="001A6633">
            <w:pPr>
              <w:spacing w:before="120" w:after="120"/>
              <w:jc w:val="center"/>
              <w:rPr>
                <w:rFonts w:eastAsia="Times New Roman"/>
                <w:b/>
                <w:bCs/>
                <w:lang w:val="en-US"/>
              </w:rPr>
            </w:pPr>
            <w:r w:rsidRPr="00354EF4">
              <w:rPr>
                <w:rFonts w:eastAsia="Times New Roman"/>
                <w:b/>
                <w:bCs/>
                <w:lang w:val="en-US"/>
              </w:rPr>
              <w:t>Nr.</w:t>
            </w:r>
          </w:p>
        </w:tc>
        <w:tc>
          <w:tcPr>
            <w:tcW w:w="4400" w:type="dxa"/>
            <w:shd w:val="clear" w:color="auto" w:fill="003787"/>
          </w:tcPr>
          <w:p w14:paraId="243903D3" w14:textId="77777777" w:rsidR="004A3512" w:rsidRPr="00354EF4" w:rsidRDefault="004A3512" w:rsidP="001A6633">
            <w:pPr>
              <w:spacing w:before="120" w:after="120"/>
              <w:jc w:val="center"/>
              <w:rPr>
                <w:rFonts w:eastAsia="Times New Roman"/>
                <w:lang w:val="en-US"/>
              </w:rPr>
            </w:pPr>
            <w:r w:rsidRPr="00354EF4">
              <w:rPr>
                <w:b/>
                <w:bCs/>
                <w:lang w:val="en-US"/>
              </w:rPr>
              <w:t>Question</w:t>
            </w:r>
          </w:p>
        </w:tc>
        <w:tc>
          <w:tcPr>
            <w:tcW w:w="4530" w:type="dxa"/>
            <w:shd w:val="clear" w:color="auto" w:fill="003787"/>
          </w:tcPr>
          <w:p w14:paraId="3A546AB4" w14:textId="77777777" w:rsidR="004A3512" w:rsidRPr="00354EF4" w:rsidRDefault="004A3512" w:rsidP="001A6633">
            <w:pPr>
              <w:spacing w:before="120" w:after="120"/>
              <w:jc w:val="center"/>
              <w:rPr>
                <w:rFonts w:eastAsia="Times New Roman"/>
                <w:lang w:val="en-US"/>
              </w:rPr>
            </w:pPr>
            <w:r w:rsidRPr="00354EF4">
              <w:rPr>
                <w:b/>
                <w:bCs/>
                <w:lang w:val="en-US"/>
              </w:rPr>
              <w:t>Answer</w:t>
            </w:r>
          </w:p>
        </w:tc>
      </w:tr>
      <w:tr w:rsidR="004A3512" w:rsidRPr="00354EF4" w14:paraId="505251C0" w14:textId="77777777" w:rsidTr="001A6633">
        <w:tc>
          <w:tcPr>
            <w:tcW w:w="562" w:type="dxa"/>
          </w:tcPr>
          <w:p w14:paraId="141E247E" w14:textId="77777777" w:rsidR="004A3512" w:rsidRPr="00354EF4" w:rsidRDefault="004A3512" w:rsidP="001A6633">
            <w:pPr>
              <w:spacing w:before="120"/>
              <w:jc w:val="center"/>
              <w:rPr>
                <w:rFonts w:eastAsia="Times New Roman"/>
                <w:lang w:val="en-US"/>
              </w:rPr>
            </w:pPr>
            <w:r w:rsidRPr="00354EF4">
              <w:rPr>
                <w:rFonts w:eastAsia="Times New Roman"/>
                <w:lang w:val="en-US"/>
              </w:rPr>
              <w:t>1.</w:t>
            </w:r>
          </w:p>
        </w:tc>
        <w:tc>
          <w:tcPr>
            <w:tcW w:w="4400" w:type="dxa"/>
          </w:tcPr>
          <w:p w14:paraId="636AA580" w14:textId="77777777" w:rsidR="004A3512" w:rsidRPr="00AA3E87" w:rsidRDefault="004A3512" w:rsidP="001A6633">
            <w:pPr>
              <w:spacing w:before="120" w:after="120"/>
              <w:jc w:val="both"/>
              <w:rPr>
                <w:rFonts w:eastAsia="Myriad Pro" w:cs="Myriad Pro"/>
                <w:color w:val="000000" w:themeColor="text1"/>
                <w:lang w:val="en-GB"/>
              </w:rPr>
            </w:pPr>
            <w:r w:rsidRPr="00AA3E87">
              <w:rPr>
                <w:rFonts w:eastAsia="Myriad Pro" w:cs="Myriad Pro"/>
                <w:color w:val="000000" w:themeColor="text1"/>
                <w:lang w:val="en-GB"/>
              </w:rPr>
              <w:t>We are writing to provide clarification regarding the payroll tax requirements applicable to services rendered to both foreign Permanent Establishments (PE) and local entities within Lithuania (requirement set in Section 8.4.6. of Regulations).</w:t>
            </w:r>
          </w:p>
          <w:p w14:paraId="0D5C1464" w14:textId="77777777" w:rsidR="004A3512" w:rsidRPr="00AA3E87" w:rsidRDefault="004A3512" w:rsidP="001A6633">
            <w:pPr>
              <w:spacing w:before="120" w:after="120"/>
              <w:jc w:val="both"/>
              <w:rPr>
                <w:rFonts w:eastAsia="Myriad Pro" w:cs="Myriad Pro"/>
                <w:color w:val="000000" w:themeColor="text1"/>
                <w:lang w:val="en-GB"/>
              </w:rPr>
            </w:pPr>
            <w:r w:rsidRPr="00AA3E87">
              <w:rPr>
                <w:rFonts w:eastAsia="Myriad Pro" w:cs="Myriad Pro"/>
                <w:color w:val="000000" w:themeColor="text1"/>
                <w:lang w:val="en-GB"/>
              </w:rPr>
              <w:t xml:space="preserve"> We would like to highlight that, under current Lithuanian tax regulations, there is no distinction in payroll tax obligations based on entity's status as a foreign PE or a local entity.</w:t>
            </w:r>
          </w:p>
          <w:p w14:paraId="20870198" w14:textId="77777777" w:rsidR="004A3512" w:rsidRPr="00AA3E87" w:rsidRDefault="004A3512" w:rsidP="001A6633">
            <w:pPr>
              <w:spacing w:before="120" w:after="120"/>
              <w:jc w:val="both"/>
              <w:rPr>
                <w:rFonts w:eastAsia="Myriad Pro" w:cs="Myriad Pro"/>
                <w:color w:val="000000" w:themeColor="text1"/>
                <w:lang w:val="en-GB"/>
              </w:rPr>
            </w:pPr>
            <w:r w:rsidRPr="00AA3E87">
              <w:rPr>
                <w:rFonts w:eastAsia="Myriad Pro" w:cs="Myriad Pro"/>
                <w:color w:val="000000" w:themeColor="text1"/>
                <w:lang w:val="en-GB"/>
              </w:rPr>
              <w:t>Specifically, employers are required to adhere to the same payroll tax obligations, including the calculation and remittance of social security contributions and personal income tax withholdings, preparation of same tax returns, regardless of the recipient entity's status as a foreign PE or a local entity.</w:t>
            </w:r>
          </w:p>
          <w:p w14:paraId="7654DFB5" w14:textId="77777777" w:rsidR="004A3512" w:rsidRPr="00AA3E87" w:rsidRDefault="004A3512" w:rsidP="001A6633">
            <w:pPr>
              <w:spacing w:before="120" w:after="120"/>
              <w:jc w:val="both"/>
              <w:rPr>
                <w:rFonts w:eastAsia="Myriad Pro" w:cs="Myriad Pro"/>
                <w:color w:val="000000" w:themeColor="text1"/>
                <w:lang w:val="en-GB"/>
              </w:rPr>
            </w:pPr>
            <w:r w:rsidRPr="00AA3E87">
              <w:rPr>
                <w:rFonts w:eastAsia="Myriad Pro" w:cs="Myriad Pro"/>
                <w:color w:val="000000" w:themeColor="text1"/>
                <w:lang w:val="en-GB"/>
              </w:rPr>
              <w:t xml:space="preserve"> </w:t>
            </w:r>
            <w:proofErr w:type="gramStart"/>
            <w:r w:rsidRPr="00AA3E87">
              <w:rPr>
                <w:rFonts w:eastAsia="Myriad Pro" w:cs="Myriad Pro"/>
                <w:color w:val="000000" w:themeColor="text1"/>
                <w:lang w:val="en-GB"/>
              </w:rPr>
              <w:t>Thus</w:t>
            </w:r>
            <w:proofErr w:type="gramEnd"/>
            <w:r w:rsidRPr="00AA3E87">
              <w:rPr>
                <w:rFonts w:eastAsia="Myriad Pro" w:cs="Myriad Pro"/>
                <w:color w:val="000000" w:themeColor="text1"/>
                <w:lang w:val="en-GB"/>
              </w:rPr>
              <w:t xml:space="preserve"> we consider that requirement set in 8.4.6. is not justified.</w:t>
            </w:r>
          </w:p>
          <w:p w14:paraId="31172B80" w14:textId="77777777" w:rsidR="004A3512" w:rsidRPr="000F05CC" w:rsidRDefault="004A3512" w:rsidP="001A6633">
            <w:pPr>
              <w:spacing w:before="120" w:after="120"/>
              <w:jc w:val="both"/>
              <w:rPr>
                <w:rFonts w:eastAsia="Myriad Pro" w:cs="Myriad Pro"/>
                <w:color w:val="000000" w:themeColor="text1"/>
                <w:lang w:val="en-GB"/>
              </w:rPr>
            </w:pPr>
            <w:r w:rsidRPr="00AA3E87">
              <w:rPr>
                <w:rFonts w:eastAsia="Myriad Pro" w:cs="Myriad Pro"/>
                <w:color w:val="000000" w:themeColor="text1"/>
                <w:lang w:val="en-GB"/>
              </w:rPr>
              <w:t xml:space="preserve">We provide payroll compliance services to over 30 entities including foreign permanent </w:t>
            </w:r>
            <w:r w:rsidRPr="00AA3E87">
              <w:rPr>
                <w:rFonts w:eastAsia="Myriad Pro" w:cs="Myriad Pro"/>
                <w:color w:val="000000" w:themeColor="text1"/>
                <w:lang w:val="en-GB"/>
              </w:rPr>
              <w:lastRenderedPageBreak/>
              <w:t xml:space="preserve">establishments, subsidiaries of foreign companies and local entities. </w:t>
            </w:r>
            <w:proofErr w:type="gramStart"/>
            <w:r w:rsidRPr="00AA3E87">
              <w:rPr>
                <w:rFonts w:eastAsia="Myriad Pro" w:cs="Myriad Pro"/>
                <w:color w:val="000000" w:themeColor="text1"/>
                <w:lang w:val="en-GB"/>
              </w:rPr>
              <w:t>Therefore</w:t>
            </w:r>
            <w:proofErr w:type="gramEnd"/>
            <w:r w:rsidRPr="00AA3E87">
              <w:rPr>
                <w:rFonts w:eastAsia="Myriad Pro" w:cs="Myriad Pro"/>
                <w:color w:val="000000" w:themeColor="text1"/>
                <w:lang w:val="en-GB"/>
              </w:rPr>
              <w:t xml:space="preserve"> we trust that we have relevant knowledge and experience to provide payroll compliance services to foreign permanent establishment like RB Rail AS Lietuvos </w:t>
            </w:r>
            <w:proofErr w:type="spellStart"/>
            <w:r w:rsidRPr="00AA3E87">
              <w:rPr>
                <w:rFonts w:eastAsia="Myriad Pro" w:cs="Myriad Pro"/>
                <w:color w:val="000000" w:themeColor="text1"/>
                <w:lang w:val="en-GB"/>
              </w:rPr>
              <w:t>filialas</w:t>
            </w:r>
            <w:proofErr w:type="spellEnd"/>
            <w:r w:rsidRPr="00AA3E87">
              <w:rPr>
                <w:rFonts w:eastAsia="Myriad Pro" w:cs="Myriad Pro"/>
                <w:color w:val="000000" w:themeColor="text1"/>
                <w:lang w:val="en-GB"/>
              </w:rPr>
              <w:t>.</w:t>
            </w:r>
          </w:p>
        </w:tc>
        <w:tc>
          <w:tcPr>
            <w:tcW w:w="4530" w:type="dxa"/>
          </w:tcPr>
          <w:p w14:paraId="1C31EF46" w14:textId="77777777" w:rsidR="006D0BC4" w:rsidRPr="006D0BC4" w:rsidRDefault="004A3512" w:rsidP="006D0BC4">
            <w:pPr>
              <w:jc w:val="both"/>
              <w:rPr>
                <w:lang w:val="en-GB"/>
              </w:rPr>
            </w:pPr>
            <w:r>
              <w:rPr>
                <w:rFonts w:eastAsia="Myriad Pro" w:cs="Myriad Pro"/>
                <w:color w:val="000000" w:themeColor="text1"/>
                <w:lang w:val="en-GB"/>
              </w:rPr>
              <w:lastRenderedPageBreak/>
              <w:t xml:space="preserve"> </w:t>
            </w:r>
            <w:r w:rsidR="006D0BC4" w:rsidRPr="006D0BC4">
              <w:rPr>
                <w:lang w:val="en-GB"/>
              </w:rPr>
              <w:t>The Procurement commission has reviewed the comment from the supplier and informs that the requirement will remain unchanged for following reasons:</w:t>
            </w:r>
          </w:p>
          <w:p w14:paraId="42B523FA" w14:textId="77777777" w:rsidR="006D0BC4" w:rsidRPr="006D0BC4" w:rsidRDefault="006D0BC4" w:rsidP="006D0BC4">
            <w:pPr>
              <w:jc w:val="both"/>
              <w:rPr>
                <w:lang w:val="en-GB"/>
              </w:rPr>
            </w:pPr>
            <w:r w:rsidRPr="006D0BC4">
              <w:rPr>
                <w:lang w:val="en-GB"/>
              </w:rPr>
              <w:t xml:space="preserve">The requirement is based not only on payroll tax obligations but also on the complexity of service provision when working with international company structures. The Procurement commission seeks to ensure that the selected contractor has specific experience in handling the accounting and tax complexities of foreign permanent establishments (PEs) within a group structure. </w:t>
            </w:r>
          </w:p>
          <w:p w14:paraId="3A31F59A" w14:textId="77777777" w:rsidR="006D0BC4" w:rsidRPr="006D0BC4" w:rsidRDefault="006D0BC4" w:rsidP="006D0BC4">
            <w:pPr>
              <w:jc w:val="both"/>
              <w:rPr>
                <w:lang w:val="en-GB"/>
              </w:rPr>
            </w:pPr>
            <w:r w:rsidRPr="006D0BC4">
              <w:rPr>
                <w:lang w:val="en-GB"/>
              </w:rPr>
              <w:t>Unlike independent local entities, foreign PEs often operate within multinational corporate frameworks. This introduces additional complexities, such as:</w:t>
            </w:r>
          </w:p>
          <w:p w14:paraId="29A7EF3C" w14:textId="77777777" w:rsidR="006D0BC4" w:rsidRPr="006D0BC4" w:rsidRDefault="006D0BC4" w:rsidP="006D0BC4">
            <w:pPr>
              <w:numPr>
                <w:ilvl w:val="0"/>
                <w:numId w:val="1"/>
              </w:numPr>
              <w:tabs>
                <w:tab w:val="clear" w:pos="720"/>
                <w:tab w:val="num" w:pos="315"/>
                <w:tab w:val="left" w:pos="457"/>
              </w:tabs>
              <w:ind w:left="315" w:hanging="283"/>
              <w:jc w:val="both"/>
              <w:rPr>
                <w:rFonts w:eastAsia="Times New Roman" w:cs="Times New Roman"/>
                <w:lang w:val="en-GB" w:eastAsia="lv-LV"/>
              </w:rPr>
            </w:pPr>
            <w:r w:rsidRPr="006D0BC4">
              <w:rPr>
                <w:lang w:val="en-GB"/>
              </w:rPr>
              <w:t xml:space="preserve">Remote Accounting Teams: </w:t>
            </w:r>
            <w:r w:rsidRPr="006D0BC4">
              <w:rPr>
                <w:rFonts w:eastAsia="Times New Roman" w:cs="Times New Roman"/>
                <w:lang w:val="en-GB" w:eastAsia="lv-LV"/>
              </w:rPr>
              <w:t>accounting function is handled in a different country than the Lithuanian branch, requiring expertise in cross-border coordination and compliance.</w:t>
            </w:r>
            <w:r w:rsidRPr="006D0BC4">
              <w:rPr>
                <w:lang w:val="en-GB"/>
              </w:rPr>
              <w:t xml:space="preserve"> </w:t>
            </w:r>
          </w:p>
          <w:p w14:paraId="2A91A5EB" w14:textId="77777777" w:rsidR="006D0BC4" w:rsidRPr="006D0BC4" w:rsidRDefault="006D0BC4" w:rsidP="006D0BC4">
            <w:pPr>
              <w:numPr>
                <w:ilvl w:val="0"/>
                <w:numId w:val="1"/>
              </w:numPr>
              <w:tabs>
                <w:tab w:val="clear" w:pos="720"/>
                <w:tab w:val="num" w:pos="315"/>
              </w:tabs>
              <w:ind w:left="315" w:hanging="283"/>
              <w:jc w:val="both"/>
              <w:rPr>
                <w:lang w:val="en-GB"/>
              </w:rPr>
            </w:pPr>
            <w:r w:rsidRPr="006D0BC4">
              <w:rPr>
                <w:lang w:val="en-GB"/>
              </w:rPr>
              <w:lastRenderedPageBreak/>
              <w:t>Group-wide Remuneration and Benefits Policies: Multinational companies often implement common compensation structures across several countries, leading to variations in tax treatment. A service provider must be able to navigate these complexities.</w:t>
            </w:r>
          </w:p>
          <w:p w14:paraId="3096E909" w14:textId="77777777" w:rsidR="006D0BC4" w:rsidRPr="006D0BC4" w:rsidRDefault="006D0BC4" w:rsidP="006D0BC4">
            <w:pPr>
              <w:numPr>
                <w:ilvl w:val="0"/>
                <w:numId w:val="1"/>
              </w:numPr>
              <w:tabs>
                <w:tab w:val="clear" w:pos="720"/>
              </w:tabs>
              <w:ind w:left="315" w:hanging="283"/>
              <w:jc w:val="both"/>
              <w:rPr>
                <w:rFonts w:eastAsia="Times New Roman" w:cs="Times New Roman"/>
                <w:lang w:val="en-GB" w:eastAsia="lv-LV"/>
              </w:rPr>
            </w:pPr>
            <w:r w:rsidRPr="006D0BC4">
              <w:rPr>
                <w:rFonts w:eastAsia="Times New Roman" w:cs="Times New Roman"/>
                <w:lang w:val="en-GB" w:eastAsia="lv-LV"/>
              </w:rPr>
              <w:t>Access to Tax Databases: Unlike accountants of Lithuanian-registered companies, foreign PE accountants do not have direct access to Lithuanian tax databases. The selected service provider must be experienced in obtaining and reconciling tax data periodically with accountants to ensure compliance.</w:t>
            </w:r>
          </w:p>
          <w:p w14:paraId="277BB819" w14:textId="53888E50" w:rsidR="004A3512" w:rsidRPr="00733F03" w:rsidRDefault="006D0BC4" w:rsidP="001F2CFE">
            <w:pPr>
              <w:jc w:val="both"/>
              <w:rPr>
                <w:rFonts w:eastAsia="Myriad Pro" w:cs="Myriad Pro"/>
                <w:color w:val="000000" w:themeColor="text1"/>
                <w:lang w:val="en-GB"/>
              </w:rPr>
            </w:pPr>
            <w:r w:rsidRPr="006D0BC4">
              <w:rPr>
                <w:lang w:val="en-GB"/>
              </w:rPr>
              <w:t xml:space="preserve">Also, the Procurement commission would like to highlight that </w:t>
            </w:r>
            <w:proofErr w:type="gramStart"/>
            <w:r w:rsidRPr="006D0BC4">
              <w:rPr>
                <w:lang w:val="en-GB"/>
              </w:rPr>
              <w:t>Corporate</w:t>
            </w:r>
            <w:proofErr w:type="gramEnd"/>
            <w:r w:rsidRPr="006D0BC4">
              <w:rPr>
                <w:lang w:val="en-GB"/>
              </w:rPr>
              <w:t xml:space="preserve"> income tax (CIT) application in Lithuania to international branches includes specific regulations, which are not applicable to independent domestic entities, such as tax treatment of costs and income allocated from head office. The Procurement commission must make sure that the potential contractor has experience in CIT application to PEs of foreign entities.</w:t>
            </w:r>
          </w:p>
        </w:tc>
      </w:tr>
      <w:tr w:rsidR="004A3512" w:rsidRPr="00354EF4" w14:paraId="4133C233" w14:textId="77777777" w:rsidTr="001A6633">
        <w:tc>
          <w:tcPr>
            <w:tcW w:w="562" w:type="dxa"/>
          </w:tcPr>
          <w:p w14:paraId="01171536" w14:textId="77777777" w:rsidR="004A3512" w:rsidRPr="00354EF4" w:rsidRDefault="004A3512" w:rsidP="001A6633">
            <w:pPr>
              <w:spacing w:before="120"/>
              <w:jc w:val="center"/>
              <w:rPr>
                <w:rFonts w:eastAsia="Times New Roman"/>
                <w:lang w:val="en-US"/>
              </w:rPr>
            </w:pPr>
            <w:r>
              <w:rPr>
                <w:rFonts w:eastAsia="Times New Roman"/>
                <w:lang w:val="en-US"/>
              </w:rPr>
              <w:lastRenderedPageBreak/>
              <w:t xml:space="preserve">2. </w:t>
            </w:r>
          </w:p>
        </w:tc>
        <w:tc>
          <w:tcPr>
            <w:tcW w:w="4400" w:type="dxa"/>
          </w:tcPr>
          <w:p w14:paraId="6D955FA7" w14:textId="77777777" w:rsidR="004A3512" w:rsidRPr="00E93536" w:rsidRDefault="004A3512" w:rsidP="001A6633">
            <w:pPr>
              <w:spacing w:before="120" w:after="120"/>
              <w:jc w:val="both"/>
              <w:rPr>
                <w:rFonts w:eastAsia="Myriad Pro" w:cs="Myriad Pro"/>
                <w:color w:val="000000" w:themeColor="text1"/>
                <w:lang w:val="en-GB"/>
              </w:rPr>
            </w:pPr>
            <w:r w:rsidRPr="00E93536">
              <w:rPr>
                <w:rFonts w:eastAsia="Myriad Pro" w:cs="Myriad Pro"/>
                <w:color w:val="000000" w:themeColor="text1"/>
                <w:lang w:val="en-GB"/>
              </w:rPr>
              <w:t>We are writing to ask for clarification regarding the payroll tax requirements applicable to services rendered to both foreign Permanent Establishments (PE) and local entities within Estonia (requirement set in Section 8.4.5. of Regulations).</w:t>
            </w:r>
          </w:p>
          <w:p w14:paraId="16837BDD" w14:textId="77777777" w:rsidR="004A3512" w:rsidRPr="00E93536" w:rsidRDefault="004A3512" w:rsidP="001A6633">
            <w:pPr>
              <w:spacing w:before="120" w:after="120"/>
              <w:jc w:val="both"/>
              <w:rPr>
                <w:rFonts w:eastAsia="Myriad Pro" w:cs="Myriad Pro"/>
                <w:color w:val="000000" w:themeColor="text1"/>
                <w:lang w:val="en-GB"/>
              </w:rPr>
            </w:pPr>
            <w:r w:rsidRPr="00E93536">
              <w:rPr>
                <w:rFonts w:eastAsia="Myriad Pro" w:cs="Myriad Pro"/>
                <w:color w:val="000000" w:themeColor="text1"/>
                <w:lang w:val="en-GB"/>
              </w:rPr>
              <w:t xml:space="preserve"> We would like to highlight that, under current Estonian tax regulations, there is no distinction in payroll tax obligations based on entity's status as a foreign PE or a local entity.</w:t>
            </w:r>
          </w:p>
          <w:p w14:paraId="4D338568" w14:textId="77777777" w:rsidR="004A3512" w:rsidRPr="00E93536" w:rsidRDefault="004A3512" w:rsidP="001A6633">
            <w:pPr>
              <w:spacing w:before="120" w:after="120"/>
              <w:jc w:val="both"/>
              <w:rPr>
                <w:rFonts w:eastAsia="Myriad Pro" w:cs="Myriad Pro"/>
                <w:color w:val="000000" w:themeColor="text1"/>
                <w:lang w:val="en-GB"/>
              </w:rPr>
            </w:pPr>
            <w:r w:rsidRPr="00E93536">
              <w:rPr>
                <w:rFonts w:eastAsia="Myriad Pro" w:cs="Myriad Pro"/>
                <w:color w:val="000000" w:themeColor="text1"/>
                <w:lang w:val="en-GB"/>
              </w:rPr>
              <w:t>Specifically, employers are required to adhere to the same payroll tax obligations, including the calculation and remittance of social security contributions and personal income tax withholdings, preparation of same tax returns, regardless of the recipient entity's status as a foreign PE or a local entity.</w:t>
            </w:r>
          </w:p>
          <w:p w14:paraId="4C91C27E" w14:textId="77777777" w:rsidR="004A3512" w:rsidRPr="00E93536" w:rsidRDefault="004A3512" w:rsidP="001A6633">
            <w:pPr>
              <w:spacing w:before="120" w:after="120"/>
              <w:jc w:val="both"/>
              <w:rPr>
                <w:rFonts w:eastAsia="Myriad Pro" w:cs="Myriad Pro"/>
                <w:color w:val="000000" w:themeColor="text1"/>
                <w:lang w:val="en-GB"/>
              </w:rPr>
            </w:pPr>
            <w:r w:rsidRPr="00E93536">
              <w:rPr>
                <w:rFonts w:eastAsia="Myriad Pro" w:cs="Myriad Pro"/>
                <w:color w:val="000000" w:themeColor="text1"/>
                <w:lang w:val="en-GB"/>
              </w:rPr>
              <w:t xml:space="preserve"> Thus, we consider that requirement set in 8.4.5. is not justified.</w:t>
            </w:r>
          </w:p>
          <w:p w14:paraId="0EDF4234" w14:textId="77777777" w:rsidR="004A3512" w:rsidRPr="001C2FAD" w:rsidRDefault="004A3512" w:rsidP="001A6633">
            <w:pPr>
              <w:spacing w:before="120" w:after="120"/>
              <w:jc w:val="both"/>
              <w:rPr>
                <w:rFonts w:eastAsia="Myriad Pro" w:cs="Myriad Pro"/>
                <w:color w:val="000000" w:themeColor="text1"/>
                <w:lang w:val="en-GB"/>
              </w:rPr>
            </w:pPr>
            <w:r w:rsidRPr="00E93536">
              <w:rPr>
                <w:rFonts w:eastAsia="Myriad Pro" w:cs="Myriad Pro"/>
                <w:color w:val="000000" w:themeColor="text1"/>
                <w:lang w:val="en-GB"/>
              </w:rPr>
              <w:t xml:space="preserve">We provide payroll compliance services to over 30 entities including foreign permanent establishments, subsidiaries of foreign companies and local entities. Therefore, we trust that we have relevant knowledge and </w:t>
            </w:r>
            <w:r w:rsidRPr="00E93536">
              <w:rPr>
                <w:rFonts w:eastAsia="Myriad Pro" w:cs="Myriad Pro"/>
                <w:color w:val="000000" w:themeColor="text1"/>
                <w:lang w:val="en-GB"/>
              </w:rPr>
              <w:lastRenderedPageBreak/>
              <w:t xml:space="preserve">experience to provide payroll compliance services to foreign permanent establishments, like RB Rail AS </w:t>
            </w:r>
            <w:proofErr w:type="spellStart"/>
            <w:r w:rsidRPr="00E93536">
              <w:rPr>
                <w:rFonts w:eastAsia="Myriad Pro" w:cs="Myriad Pro"/>
                <w:color w:val="000000" w:themeColor="text1"/>
                <w:lang w:val="en-GB"/>
              </w:rPr>
              <w:t>Eesti</w:t>
            </w:r>
            <w:proofErr w:type="spellEnd"/>
            <w:r w:rsidRPr="00E93536">
              <w:rPr>
                <w:rFonts w:eastAsia="Myriad Pro" w:cs="Myriad Pro"/>
                <w:color w:val="000000" w:themeColor="text1"/>
                <w:lang w:val="en-GB"/>
              </w:rPr>
              <w:t xml:space="preserve"> </w:t>
            </w:r>
            <w:proofErr w:type="spellStart"/>
            <w:r w:rsidRPr="00E93536">
              <w:rPr>
                <w:rFonts w:eastAsia="Myriad Pro" w:cs="Myriad Pro"/>
                <w:color w:val="000000" w:themeColor="text1"/>
                <w:lang w:val="en-GB"/>
              </w:rPr>
              <w:t>filiaal</w:t>
            </w:r>
            <w:proofErr w:type="spellEnd"/>
            <w:r w:rsidRPr="00E93536">
              <w:rPr>
                <w:rFonts w:eastAsia="Myriad Pro" w:cs="Myriad Pro"/>
                <w:color w:val="000000" w:themeColor="text1"/>
                <w:lang w:val="en-GB"/>
              </w:rPr>
              <w:t>.</w:t>
            </w:r>
          </w:p>
        </w:tc>
        <w:tc>
          <w:tcPr>
            <w:tcW w:w="4530" w:type="dxa"/>
          </w:tcPr>
          <w:p w14:paraId="5C5CD77C" w14:textId="77777777" w:rsidR="001F2CFE" w:rsidRPr="001F2CFE" w:rsidRDefault="001F2CFE" w:rsidP="001F2CFE">
            <w:pPr>
              <w:jc w:val="both"/>
              <w:rPr>
                <w:lang w:val="en-GB"/>
              </w:rPr>
            </w:pPr>
            <w:r w:rsidRPr="001F2CFE">
              <w:rPr>
                <w:lang w:val="en-GB"/>
              </w:rPr>
              <w:lastRenderedPageBreak/>
              <w:t>The Procurement commission has reviewed the comment from the supplier and informs that the requirement will not be changed due to following reasons:</w:t>
            </w:r>
          </w:p>
          <w:p w14:paraId="70C39665" w14:textId="77777777" w:rsidR="001F2CFE" w:rsidRPr="001F2CFE" w:rsidRDefault="001F2CFE" w:rsidP="001F2CFE">
            <w:pPr>
              <w:contextualSpacing/>
              <w:jc w:val="both"/>
              <w:rPr>
                <w:lang w:val="en-GB"/>
              </w:rPr>
            </w:pPr>
            <w:r w:rsidRPr="001F2CFE">
              <w:rPr>
                <w:lang w:val="en-GB"/>
              </w:rPr>
              <w:t xml:space="preserve">The </w:t>
            </w:r>
            <w:r w:rsidRPr="00444AC6">
              <w:rPr>
                <w:lang w:val="en-GB"/>
              </w:rPr>
              <w:t xml:space="preserve">requirement is based not only on legal payroll tax obligations but also on </w:t>
            </w:r>
            <w:r w:rsidRPr="00444AC6">
              <w:rPr>
                <w:rStyle w:val="Strong"/>
                <w:b w:val="0"/>
                <w:bCs w:val="0"/>
                <w:lang w:val="en-GB"/>
              </w:rPr>
              <w:t>fundamental differences in service provision</w:t>
            </w:r>
            <w:r w:rsidRPr="00444AC6">
              <w:rPr>
                <w:lang w:val="en-GB"/>
              </w:rPr>
              <w:t xml:space="preserve"> for foreign permanent establishments (PEs) compared to independent local entities. The Procurement Commission must ensure that the selected contractor has the necessary experience to handle the </w:t>
            </w:r>
            <w:r w:rsidRPr="00444AC6">
              <w:rPr>
                <w:rStyle w:val="Strong"/>
                <w:b w:val="0"/>
                <w:bCs w:val="0"/>
                <w:lang w:val="en-GB"/>
              </w:rPr>
              <w:t>accounting and tax complexities</w:t>
            </w:r>
            <w:r w:rsidRPr="00444AC6">
              <w:rPr>
                <w:lang w:val="en-GB"/>
              </w:rPr>
              <w:t xml:space="preserve"> specific to international</w:t>
            </w:r>
            <w:r w:rsidRPr="001F2CFE">
              <w:rPr>
                <w:lang w:val="en-GB"/>
              </w:rPr>
              <w:t xml:space="preserve"> branches.</w:t>
            </w:r>
          </w:p>
          <w:p w14:paraId="1A6DA58B" w14:textId="77777777" w:rsidR="001F2CFE" w:rsidRPr="001F2CFE" w:rsidRDefault="001F2CFE" w:rsidP="001F2CFE">
            <w:pPr>
              <w:spacing w:before="100" w:beforeAutospacing="1"/>
              <w:contextualSpacing/>
              <w:jc w:val="both"/>
              <w:rPr>
                <w:rFonts w:eastAsia="Times New Roman" w:cs="Times New Roman"/>
                <w:lang w:val="en-GB" w:eastAsia="lv-LV"/>
              </w:rPr>
            </w:pPr>
            <w:r w:rsidRPr="001F2CFE">
              <w:rPr>
                <w:rFonts w:eastAsia="Times New Roman" w:cs="Times New Roman"/>
                <w:lang w:val="en-GB" w:eastAsia="lv-LV"/>
              </w:rPr>
              <w:t>Foreign permanent establishments (PEs) within a multinational group operate differently from standalone Estonian companies. This introduces specific challenges, including:</w:t>
            </w:r>
          </w:p>
          <w:p w14:paraId="7B747AEB" w14:textId="77777777" w:rsidR="001F2CFE" w:rsidRPr="001F2CFE" w:rsidRDefault="001F2CFE" w:rsidP="001F2CFE">
            <w:pPr>
              <w:numPr>
                <w:ilvl w:val="0"/>
                <w:numId w:val="2"/>
              </w:numPr>
              <w:tabs>
                <w:tab w:val="clear" w:pos="720"/>
                <w:tab w:val="num" w:pos="315"/>
              </w:tabs>
              <w:spacing w:before="100" w:beforeAutospacing="1"/>
              <w:ind w:left="315" w:hanging="315"/>
              <w:contextualSpacing/>
              <w:jc w:val="both"/>
              <w:rPr>
                <w:rFonts w:eastAsia="Times New Roman" w:cs="Times New Roman"/>
                <w:lang w:val="en-GB" w:eastAsia="lv-LV"/>
              </w:rPr>
            </w:pPr>
            <w:r w:rsidRPr="001F2CFE">
              <w:rPr>
                <w:rFonts w:eastAsia="Times New Roman" w:cs="Times New Roman"/>
                <w:lang w:val="en-GB" w:eastAsia="lv-LV"/>
              </w:rPr>
              <w:t>Remote Accounting Teams: accounting function is handled in a different country than the Estonian branch, requiring expertise in cross-border coordination and compliance.</w:t>
            </w:r>
          </w:p>
          <w:p w14:paraId="3E9C76C4" w14:textId="77777777" w:rsidR="001F2CFE" w:rsidRPr="001F2CFE" w:rsidRDefault="001F2CFE" w:rsidP="001F2CFE">
            <w:pPr>
              <w:numPr>
                <w:ilvl w:val="0"/>
                <w:numId w:val="2"/>
              </w:numPr>
              <w:tabs>
                <w:tab w:val="clear" w:pos="720"/>
                <w:tab w:val="num" w:pos="315"/>
              </w:tabs>
              <w:spacing w:before="100" w:beforeAutospacing="1"/>
              <w:ind w:left="315" w:hanging="425"/>
              <w:jc w:val="both"/>
              <w:rPr>
                <w:rFonts w:eastAsia="Times New Roman" w:cs="Times New Roman"/>
                <w:lang w:val="en-GB" w:eastAsia="lv-LV"/>
              </w:rPr>
            </w:pPr>
            <w:r w:rsidRPr="001F2CFE">
              <w:rPr>
                <w:rFonts w:eastAsia="Times New Roman" w:cs="Times New Roman"/>
                <w:lang w:val="en-GB" w:eastAsia="lv-LV"/>
              </w:rPr>
              <w:t xml:space="preserve">Group-wide Remuneration and Benefits Policies:  multinational companies implement centralized compensation structures across multiple countries, leading </w:t>
            </w:r>
            <w:r w:rsidRPr="001F2CFE">
              <w:rPr>
                <w:rFonts w:eastAsia="Times New Roman" w:cs="Times New Roman"/>
                <w:lang w:val="en-GB" w:eastAsia="lv-LV"/>
              </w:rPr>
              <w:lastRenderedPageBreak/>
              <w:t>to varied tax treatments and compliance requirements across jurisdictions.</w:t>
            </w:r>
          </w:p>
          <w:p w14:paraId="13851E8A" w14:textId="77777777" w:rsidR="001F2CFE" w:rsidRPr="001F2CFE" w:rsidRDefault="001F2CFE" w:rsidP="001F2CFE">
            <w:pPr>
              <w:numPr>
                <w:ilvl w:val="0"/>
                <w:numId w:val="2"/>
              </w:numPr>
              <w:tabs>
                <w:tab w:val="clear" w:pos="720"/>
                <w:tab w:val="num" w:pos="315"/>
              </w:tabs>
              <w:spacing w:before="100" w:beforeAutospacing="1"/>
              <w:ind w:left="315" w:hanging="283"/>
              <w:jc w:val="both"/>
              <w:rPr>
                <w:rFonts w:eastAsia="Times New Roman" w:cs="Times New Roman"/>
                <w:lang w:val="en-GB" w:eastAsia="lv-LV"/>
              </w:rPr>
            </w:pPr>
            <w:r w:rsidRPr="001F2CFE">
              <w:rPr>
                <w:rFonts w:eastAsia="Times New Roman" w:cs="Times New Roman"/>
                <w:lang w:val="en-GB" w:eastAsia="lv-LV"/>
              </w:rPr>
              <w:t>Access to Tax Databases: Unlike accountants of Estonian-registered companies, foreign PE accountants do not have direct access to Estonian tax databases. The selected service provider must be experienced in obtaining and reconciling tax data periodically to ensure compliance.</w:t>
            </w:r>
          </w:p>
          <w:p w14:paraId="2994815E" w14:textId="4C34C8F3" w:rsidR="004A3512" w:rsidRDefault="001F2CFE" w:rsidP="001F2CFE">
            <w:pPr>
              <w:jc w:val="both"/>
              <w:rPr>
                <w:rFonts w:eastAsia="Myriad Pro" w:cs="Myriad Pro"/>
                <w:color w:val="000000" w:themeColor="text1"/>
                <w:lang w:val="en-GB"/>
              </w:rPr>
            </w:pPr>
            <w:r w:rsidRPr="001F2CFE">
              <w:rPr>
                <w:lang w:val="en-GB"/>
              </w:rPr>
              <w:t>Procurement commission also indicates that apart from payroll calculations consultants will be asked to judge application of corporate income tax to costs and income allocated to the branch from head office and will be required to develop annual financial statements of the branch from transactions records provided by client. The Procurement commission also indicates that content of the annual report of a foreign branch may differ from the content of an independent domestic company and need to be sure that service provider is aware of these aspects.</w:t>
            </w:r>
          </w:p>
        </w:tc>
      </w:tr>
    </w:tbl>
    <w:p w14:paraId="79ADEA34" w14:textId="77777777" w:rsidR="004A3512" w:rsidRPr="00C062C2" w:rsidRDefault="004A3512" w:rsidP="004A3512">
      <w:pPr>
        <w:spacing w:after="0" w:line="240" w:lineRule="auto"/>
        <w:jc w:val="both"/>
        <w:rPr>
          <w:lang w:val="en-US"/>
        </w:rPr>
      </w:pPr>
    </w:p>
    <w:p w14:paraId="1FFEB844" w14:textId="77777777" w:rsidR="004A3512" w:rsidRDefault="004A3512" w:rsidP="004A3512">
      <w:pPr>
        <w:spacing w:after="0" w:line="240" w:lineRule="auto"/>
        <w:jc w:val="both"/>
        <w:rPr>
          <w:lang w:val="en-US"/>
        </w:rPr>
      </w:pPr>
    </w:p>
    <w:p w14:paraId="09EFC76C" w14:textId="77777777" w:rsidR="004A3512" w:rsidRPr="00C062C2" w:rsidRDefault="004A3512" w:rsidP="004A3512">
      <w:pPr>
        <w:spacing w:after="0" w:line="240" w:lineRule="auto"/>
        <w:jc w:val="both"/>
        <w:rPr>
          <w:lang w:val="en-US"/>
        </w:rPr>
      </w:pPr>
      <w:r w:rsidRPr="00C062C2">
        <w:rPr>
          <w:lang w:val="en-US"/>
        </w:rPr>
        <w:t>Sincerely,</w:t>
      </w:r>
    </w:p>
    <w:p w14:paraId="4EC22EFC" w14:textId="77777777" w:rsidR="004A3512" w:rsidRPr="00C062C2" w:rsidRDefault="004A3512" w:rsidP="004A3512">
      <w:pPr>
        <w:spacing w:after="0" w:line="24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1"/>
      </w:tblGrid>
      <w:tr w:rsidR="004A3512" w:rsidRPr="00C062C2" w14:paraId="00C1A39B" w14:textId="77777777" w:rsidTr="001A6633">
        <w:tc>
          <w:tcPr>
            <w:tcW w:w="4820" w:type="dxa"/>
          </w:tcPr>
          <w:p w14:paraId="0A914E98" w14:textId="77777777" w:rsidR="004A3512" w:rsidRPr="00C062C2" w:rsidRDefault="004A3512" w:rsidP="001A6633">
            <w:pPr>
              <w:jc w:val="both"/>
              <w:rPr>
                <w:lang w:val="en-US"/>
              </w:rPr>
            </w:pPr>
            <w:r w:rsidRPr="00C062C2">
              <w:rPr>
                <w:rFonts w:eastAsia="Myriad Pro" w:cs="Myriad Pro"/>
                <w:shd w:val="clear" w:color="auto" w:fill="FFFFFF"/>
                <w:lang w:val="en-US"/>
              </w:rPr>
              <w:t xml:space="preserve">Procurement commission </w:t>
            </w:r>
            <w:r>
              <w:rPr>
                <w:rFonts w:eastAsia="Myriad Pro" w:cs="Myriad Pro"/>
                <w:shd w:val="clear" w:color="auto" w:fill="FFFFFF"/>
                <w:lang w:val="en-US"/>
              </w:rPr>
              <w:t>chairperson</w:t>
            </w:r>
          </w:p>
        </w:tc>
        <w:tc>
          <w:tcPr>
            <w:tcW w:w="4241" w:type="dxa"/>
          </w:tcPr>
          <w:p w14:paraId="0380D6EB" w14:textId="77777777" w:rsidR="004A3512" w:rsidRPr="00C062C2" w:rsidRDefault="004A3512" w:rsidP="001A6633">
            <w:pPr>
              <w:jc w:val="right"/>
              <w:rPr>
                <w:lang w:val="en-US"/>
              </w:rPr>
            </w:pPr>
            <w:r>
              <w:rPr>
                <w:lang w:val="en-US"/>
              </w:rPr>
              <w:t>I. Rudzīte</w:t>
            </w:r>
          </w:p>
        </w:tc>
      </w:tr>
    </w:tbl>
    <w:p w14:paraId="1FAE278F" w14:textId="77777777" w:rsidR="004A3512" w:rsidRDefault="004A3512" w:rsidP="004A3512">
      <w:pPr>
        <w:pStyle w:val="RBBodyletter"/>
        <w:jc w:val="center"/>
        <w:rPr>
          <w:i/>
          <w:iCs/>
          <w:color w:val="auto"/>
          <w:highlight w:val="yellow"/>
        </w:rPr>
      </w:pPr>
    </w:p>
    <w:p w14:paraId="77305FE8" w14:textId="77777777" w:rsidR="004A3512" w:rsidRPr="002C6C96" w:rsidRDefault="004A3512" w:rsidP="004A3512">
      <w:pPr>
        <w:jc w:val="center"/>
        <w:rPr>
          <w:sz w:val="21"/>
          <w:szCs w:val="21"/>
          <w:lang w:val="en-US"/>
        </w:rPr>
      </w:pPr>
      <w:r w:rsidRPr="002C6C96">
        <w:rPr>
          <w:sz w:val="21"/>
          <w:szCs w:val="21"/>
          <w:lang w:val="en-US"/>
        </w:rPr>
        <w:t>THIS DOCUMENT IS SIGNED ELECTRONICALLY WITH A QUALIFIED ELECTRONIC SIGNATURE</w:t>
      </w:r>
    </w:p>
    <w:p w14:paraId="15DC2D26" w14:textId="77777777" w:rsidR="004A3512" w:rsidRPr="002C6C96" w:rsidRDefault="004A3512" w:rsidP="004A3512">
      <w:pPr>
        <w:jc w:val="center"/>
      </w:pPr>
      <w:r w:rsidRPr="002C6C96">
        <w:rPr>
          <w:sz w:val="21"/>
          <w:szCs w:val="21"/>
          <w:lang w:val="en-US"/>
        </w:rPr>
        <w:t>AND CONTAINS A TIME STAMP</w:t>
      </w:r>
    </w:p>
    <w:p w14:paraId="146D0806" w14:textId="77777777" w:rsidR="00D8702B" w:rsidRDefault="00D8702B" w:rsidP="00B527B2">
      <w:pPr>
        <w:pStyle w:val="RBBodyletter"/>
        <w:jc w:val="center"/>
        <w:rPr>
          <w:i/>
          <w:iCs/>
          <w:color w:val="auto"/>
          <w:highlight w:val="yellow"/>
        </w:rPr>
      </w:pPr>
    </w:p>
    <w:p w14:paraId="6889133E" w14:textId="77777777" w:rsidR="004A3512" w:rsidRDefault="004A3512" w:rsidP="00B527B2">
      <w:pPr>
        <w:pStyle w:val="RBBodyletter"/>
        <w:jc w:val="center"/>
        <w:rPr>
          <w:i/>
          <w:iCs/>
          <w:color w:val="auto"/>
          <w:highlight w:val="yellow"/>
        </w:rPr>
      </w:pPr>
    </w:p>
    <w:p w14:paraId="0A6A136A" w14:textId="77777777" w:rsidR="00FD5BF3" w:rsidRDefault="00FD5BF3" w:rsidP="00FD5BF3">
      <w:pPr>
        <w:pStyle w:val="RBBodyletter"/>
      </w:pPr>
    </w:p>
    <w:p w14:paraId="22778348" w14:textId="04F27569" w:rsidR="0066467A" w:rsidRDefault="0066467A" w:rsidP="00FD5BF3">
      <w:pPr>
        <w:pStyle w:val="RBBodyletter"/>
      </w:pPr>
    </w:p>
    <w:p w14:paraId="648EE707" w14:textId="5941E5FC" w:rsidR="00F36DFA" w:rsidRDefault="00F36DFA" w:rsidP="00FD5BF3">
      <w:pPr>
        <w:pStyle w:val="RBBodyletter"/>
      </w:pPr>
    </w:p>
    <w:p w14:paraId="5020EAB5" w14:textId="77777777" w:rsidR="00F36DFA" w:rsidRDefault="00F36DFA" w:rsidP="00FD5BF3">
      <w:pPr>
        <w:pStyle w:val="RBBodyletter"/>
      </w:pPr>
    </w:p>
    <w:p w14:paraId="18103C42" w14:textId="77777777" w:rsidR="00DB17C6" w:rsidRPr="00DB17C6" w:rsidRDefault="00DB17C6" w:rsidP="006C54F6">
      <w:pPr>
        <w:rPr>
          <w:lang w:val="en-US"/>
        </w:rPr>
      </w:pPr>
    </w:p>
    <w:sectPr w:rsidR="00DB17C6" w:rsidRPr="00DB17C6" w:rsidSect="00DB17C6">
      <w:headerReference w:type="default" r:id="rId11"/>
      <w:footerReference w:type="default" r:id="rId12"/>
      <w:headerReference w:type="first" r:id="rId13"/>
      <w:footerReference w:type="first" r:id="rId14"/>
      <w:pgSz w:w="11906" w:h="16838" w:code="9"/>
      <w:pgMar w:top="1134" w:right="1134" w:bottom="1701" w:left="1701" w:header="1134" w:footer="4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B777C" w14:textId="77777777" w:rsidR="00471311" w:rsidRDefault="00471311" w:rsidP="002833D6">
      <w:pPr>
        <w:spacing w:after="0" w:line="240" w:lineRule="auto"/>
      </w:pPr>
      <w:r>
        <w:separator/>
      </w:r>
    </w:p>
  </w:endnote>
  <w:endnote w:type="continuationSeparator" w:id="0">
    <w:p w14:paraId="47368CED" w14:textId="77777777" w:rsidR="00471311" w:rsidRDefault="00471311" w:rsidP="0028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6752" w:type="dxa"/>
      <w:tblLook w:val="04A0" w:firstRow="1" w:lastRow="0" w:firstColumn="1" w:lastColumn="0" w:noHBand="0" w:noVBand="1"/>
    </w:tblPr>
    <w:tblGrid>
      <w:gridCol w:w="3252"/>
      <w:gridCol w:w="3252"/>
      <w:gridCol w:w="248"/>
    </w:tblGrid>
    <w:tr w:rsidR="00DB17C6" w:rsidRPr="00FA200B" w14:paraId="76123E80" w14:textId="77777777" w:rsidTr="00314E3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2" w:type="dxa"/>
        </w:tcPr>
        <w:p w14:paraId="2C7985CB" w14:textId="7494854A" w:rsidR="00DB17C6" w:rsidRPr="00FA200B" w:rsidRDefault="00DB17C6" w:rsidP="00DB17C6">
          <w:pPr>
            <w:pStyle w:val="RBminitext"/>
            <w:jc w:val="left"/>
            <w:rPr>
              <w:b w:val="0"/>
              <w:bCs w:val="0"/>
              <w:i w:val="0"/>
              <w:iCs w:val="0"/>
            </w:rPr>
          </w:pPr>
        </w:p>
      </w:tc>
      <w:tc>
        <w:tcPr>
          <w:tcW w:w="3252" w:type="dxa"/>
        </w:tcPr>
        <w:p w14:paraId="4D0E8593"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sz w:val="20"/>
              <w:szCs w:val="20"/>
              <w:lang w:val="en-GB"/>
            </w:rPr>
          </w:pPr>
        </w:p>
        <w:p w14:paraId="41274785"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rPr>
          </w:pPr>
        </w:p>
      </w:tc>
      <w:tc>
        <w:tcPr>
          <w:tcW w:w="248" w:type="dxa"/>
        </w:tcPr>
        <w:p w14:paraId="1AEFA178" w14:textId="77777777" w:rsidR="00DB17C6" w:rsidRPr="00FA200B" w:rsidRDefault="00DB17C6" w:rsidP="00DB17C6">
          <w:pPr>
            <w:pStyle w:val="RBminitext"/>
            <w:cnfStyle w:val="100000000000" w:firstRow="1" w:lastRow="0" w:firstColumn="0" w:lastColumn="0" w:oddVBand="0" w:evenVBand="0" w:oddHBand="0" w:evenHBand="0" w:firstRowFirstColumn="0" w:firstRowLastColumn="0" w:lastRowFirstColumn="0" w:lastRowLastColumn="0"/>
            <w:rPr>
              <w:b w:val="0"/>
              <w:bCs w:val="0"/>
              <w:i w:val="0"/>
              <w:iCs w:val="0"/>
            </w:rPr>
          </w:pPr>
        </w:p>
      </w:tc>
    </w:tr>
  </w:tbl>
  <w:p w14:paraId="4B001732" w14:textId="1777B5D1" w:rsidR="0021090E" w:rsidRPr="00FD5BF3" w:rsidRDefault="00444AC6" w:rsidP="00DB17C6">
    <w:pPr>
      <w:pStyle w:val="RBBodyletter"/>
      <w:jc w:val="right"/>
      <w:rPr>
        <w:sz w:val="20"/>
        <w:szCs w:val="20"/>
      </w:rPr>
    </w:pPr>
    <w:sdt>
      <w:sdtPr>
        <w:rPr>
          <w:sz w:val="20"/>
          <w:szCs w:val="20"/>
        </w:rPr>
        <w:id w:val="-1232530559"/>
        <w:docPartObj>
          <w:docPartGallery w:val="Page Numbers (Bottom of Page)"/>
          <w:docPartUnique/>
        </w:docPartObj>
      </w:sdtPr>
      <w:sdtEndPr/>
      <w:sdtContent>
        <w:sdt>
          <w:sdtPr>
            <w:rPr>
              <w:sz w:val="20"/>
              <w:szCs w:val="20"/>
            </w:rPr>
            <w:id w:val="-1910684512"/>
            <w:docPartObj>
              <w:docPartGallery w:val="Page Numbers (Top of Page)"/>
              <w:docPartUnique/>
            </w:docPartObj>
          </w:sdtPr>
          <w:sdtEndPr/>
          <w:sdtContent>
            <w:r w:rsidR="00DB17C6" w:rsidRPr="00FD5BF3">
              <w:rPr>
                <w:sz w:val="20"/>
                <w:szCs w:val="20"/>
              </w:rPr>
              <w:t xml:space="preserve">Page </w:t>
            </w:r>
            <w:r w:rsidR="00DB17C6" w:rsidRPr="00FD5BF3">
              <w:rPr>
                <w:sz w:val="20"/>
                <w:szCs w:val="20"/>
              </w:rPr>
              <w:fldChar w:fldCharType="begin"/>
            </w:r>
            <w:r w:rsidR="00DB17C6" w:rsidRPr="00FD5BF3">
              <w:rPr>
                <w:sz w:val="20"/>
                <w:szCs w:val="20"/>
              </w:rPr>
              <w:instrText xml:space="preserve"> PAGE </w:instrText>
            </w:r>
            <w:r w:rsidR="00DB17C6" w:rsidRPr="00FD5BF3">
              <w:rPr>
                <w:sz w:val="20"/>
                <w:szCs w:val="20"/>
              </w:rPr>
              <w:fldChar w:fldCharType="separate"/>
            </w:r>
            <w:r w:rsidR="00DB17C6">
              <w:rPr>
                <w:sz w:val="20"/>
                <w:szCs w:val="20"/>
              </w:rPr>
              <w:t>1</w:t>
            </w:r>
            <w:r w:rsidR="00DB17C6" w:rsidRPr="00FD5BF3">
              <w:rPr>
                <w:sz w:val="20"/>
                <w:szCs w:val="20"/>
              </w:rPr>
              <w:fldChar w:fldCharType="end"/>
            </w:r>
            <w:r w:rsidR="00DB17C6" w:rsidRPr="00FD5BF3">
              <w:rPr>
                <w:sz w:val="20"/>
                <w:szCs w:val="20"/>
              </w:rPr>
              <w:t xml:space="preserve"> of </w:t>
            </w:r>
            <w:r w:rsidR="00DB17C6" w:rsidRPr="00FD5BF3">
              <w:rPr>
                <w:sz w:val="20"/>
                <w:szCs w:val="20"/>
              </w:rPr>
              <w:fldChar w:fldCharType="begin"/>
            </w:r>
            <w:r w:rsidR="00DB17C6" w:rsidRPr="00FD5BF3">
              <w:rPr>
                <w:sz w:val="20"/>
                <w:szCs w:val="20"/>
              </w:rPr>
              <w:instrText xml:space="preserve"> NUMPAGES  </w:instrText>
            </w:r>
            <w:r w:rsidR="00DB17C6" w:rsidRPr="00FD5BF3">
              <w:rPr>
                <w:sz w:val="20"/>
                <w:szCs w:val="20"/>
              </w:rPr>
              <w:fldChar w:fldCharType="separate"/>
            </w:r>
            <w:r w:rsidR="00DB17C6">
              <w:rPr>
                <w:sz w:val="20"/>
                <w:szCs w:val="20"/>
              </w:rPr>
              <w:t>2</w:t>
            </w:r>
            <w:r w:rsidR="00DB17C6" w:rsidRPr="00FD5BF3">
              <w:rPr>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6752" w:type="dxa"/>
      <w:tblLook w:val="04A0" w:firstRow="1" w:lastRow="0" w:firstColumn="1" w:lastColumn="0" w:noHBand="0" w:noVBand="1"/>
    </w:tblPr>
    <w:tblGrid>
      <w:gridCol w:w="3252"/>
      <w:gridCol w:w="3252"/>
      <w:gridCol w:w="248"/>
    </w:tblGrid>
    <w:tr w:rsidR="00DB17C6" w:rsidRPr="00FA200B" w14:paraId="55AFCCC9" w14:textId="77777777" w:rsidTr="00314E3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2" w:type="dxa"/>
        </w:tcPr>
        <w:p w14:paraId="6F9BC814" w14:textId="0F0918D5" w:rsidR="00DB17C6" w:rsidRPr="00FA200B" w:rsidRDefault="00DB17C6" w:rsidP="00DB17C6">
          <w:pPr>
            <w:pStyle w:val="RBminitext"/>
            <w:jc w:val="left"/>
            <w:rPr>
              <w:b w:val="0"/>
              <w:bCs w:val="0"/>
              <w:i w:val="0"/>
              <w:iCs w:val="0"/>
            </w:rPr>
          </w:pPr>
          <w:bookmarkStart w:id="0" w:name="_Hlk96334024"/>
        </w:p>
      </w:tc>
      <w:tc>
        <w:tcPr>
          <w:tcW w:w="3252" w:type="dxa"/>
        </w:tcPr>
        <w:p w14:paraId="4657908A" w14:textId="1A32E356"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sz w:val="20"/>
              <w:szCs w:val="20"/>
              <w:lang w:val="en-GB"/>
            </w:rPr>
          </w:pPr>
        </w:p>
        <w:p w14:paraId="2850DFEA"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rPr>
          </w:pPr>
        </w:p>
      </w:tc>
      <w:tc>
        <w:tcPr>
          <w:tcW w:w="248" w:type="dxa"/>
        </w:tcPr>
        <w:p w14:paraId="41AAEF6C" w14:textId="77777777" w:rsidR="00DB17C6" w:rsidRPr="00FA200B" w:rsidRDefault="00DB17C6" w:rsidP="00DB17C6">
          <w:pPr>
            <w:pStyle w:val="RBminitext"/>
            <w:cnfStyle w:val="100000000000" w:firstRow="1" w:lastRow="0" w:firstColumn="0" w:lastColumn="0" w:oddVBand="0" w:evenVBand="0" w:oddHBand="0" w:evenHBand="0" w:firstRowFirstColumn="0" w:firstRowLastColumn="0" w:lastRowFirstColumn="0" w:lastRowLastColumn="0"/>
            <w:rPr>
              <w:b w:val="0"/>
              <w:bCs w:val="0"/>
              <w:i w:val="0"/>
              <w:iCs w:val="0"/>
            </w:rPr>
          </w:pPr>
        </w:p>
      </w:tc>
    </w:tr>
  </w:tbl>
  <w:bookmarkEnd w:id="0"/>
  <w:p w14:paraId="1D3A2C9D" w14:textId="6B0A4B2A" w:rsidR="0011245E" w:rsidRPr="00F36DFA" w:rsidRDefault="00444AC6" w:rsidP="00F36DFA">
    <w:pPr>
      <w:pStyle w:val="RBBodyletter"/>
      <w:jc w:val="right"/>
      <w:rPr>
        <w:sz w:val="20"/>
        <w:szCs w:val="20"/>
      </w:rPr>
    </w:pPr>
    <w:sdt>
      <w:sdtPr>
        <w:rPr>
          <w:sz w:val="20"/>
          <w:szCs w:val="20"/>
        </w:rPr>
        <w:id w:val="-1675409818"/>
        <w:docPartObj>
          <w:docPartGallery w:val="Page Numbers (Bottom of Page)"/>
          <w:docPartUnique/>
        </w:docPartObj>
      </w:sdtPr>
      <w:sdtEndPr/>
      <w:sdtContent>
        <w:sdt>
          <w:sdtPr>
            <w:rPr>
              <w:sz w:val="20"/>
              <w:szCs w:val="20"/>
            </w:rPr>
            <w:id w:val="414287431"/>
            <w:docPartObj>
              <w:docPartGallery w:val="Page Numbers (Top of Page)"/>
              <w:docPartUnique/>
            </w:docPartObj>
          </w:sdtPr>
          <w:sdtEndPr/>
          <w:sdtContent>
            <w:r w:rsidR="00DB17C6" w:rsidRPr="00FD5BF3">
              <w:rPr>
                <w:sz w:val="20"/>
                <w:szCs w:val="20"/>
              </w:rPr>
              <w:t xml:space="preserve">Page </w:t>
            </w:r>
            <w:r w:rsidR="00DB17C6" w:rsidRPr="00FD5BF3">
              <w:rPr>
                <w:sz w:val="20"/>
                <w:szCs w:val="20"/>
              </w:rPr>
              <w:fldChar w:fldCharType="begin"/>
            </w:r>
            <w:r w:rsidR="00DB17C6" w:rsidRPr="00FD5BF3">
              <w:rPr>
                <w:sz w:val="20"/>
                <w:szCs w:val="20"/>
              </w:rPr>
              <w:instrText xml:space="preserve"> PAGE </w:instrText>
            </w:r>
            <w:r w:rsidR="00DB17C6" w:rsidRPr="00FD5BF3">
              <w:rPr>
                <w:sz w:val="20"/>
                <w:szCs w:val="20"/>
              </w:rPr>
              <w:fldChar w:fldCharType="separate"/>
            </w:r>
            <w:r w:rsidR="00DB17C6">
              <w:rPr>
                <w:sz w:val="20"/>
                <w:szCs w:val="20"/>
              </w:rPr>
              <w:t>1</w:t>
            </w:r>
            <w:r w:rsidR="00DB17C6" w:rsidRPr="00FD5BF3">
              <w:rPr>
                <w:sz w:val="20"/>
                <w:szCs w:val="20"/>
              </w:rPr>
              <w:fldChar w:fldCharType="end"/>
            </w:r>
            <w:r w:rsidR="00DB17C6" w:rsidRPr="00FD5BF3">
              <w:rPr>
                <w:sz w:val="20"/>
                <w:szCs w:val="20"/>
              </w:rPr>
              <w:t xml:space="preserve"> of </w:t>
            </w:r>
            <w:r w:rsidR="00DB17C6" w:rsidRPr="00FD5BF3">
              <w:rPr>
                <w:sz w:val="20"/>
                <w:szCs w:val="20"/>
              </w:rPr>
              <w:fldChar w:fldCharType="begin"/>
            </w:r>
            <w:r w:rsidR="00DB17C6" w:rsidRPr="00FD5BF3">
              <w:rPr>
                <w:sz w:val="20"/>
                <w:szCs w:val="20"/>
              </w:rPr>
              <w:instrText xml:space="preserve"> NUMPAGES  </w:instrText>
            </w:r>
            <w:r w:rsidR="00DB17C6" w:rsidRPr="00FD5BF3">
              <w:rPr>
                <w:sz w:val="20"/>
                <w:szCs w:val="20"/>
              </w:rPr>
              <w:fldChar w:fldCharType="separate"/>
            </w:r>
            <w:r w:rsidR="00DB17C6">
              <w:rPr>
                <w:sz w:val="20"/>
                <w:szCs w:val="20"/>
              </w:rPr>
              <w:t>2</w:t>
            </w:r>
            <w:r w:rsidR="00DB17C6" w:rsidRPr="00FD5BF3">
              <w:rPr>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C1BC2" w14:textId="77777777" w:rsidR="00471311" w:rsidRDefault="00471311" w:rsidP="002833D6">
      <w:pPr>
        <w:spacing w:after="0" w:line="240" w:lineRule="auto"/>
      </w:pPr>
      <w:r>
        <w:separator/>
      </w:r>
    </w:p>
  </w:footnote>
  <w:footnote w:type="continuationSeparator" w:id="0">
    <w:p w14:paraId="69639B81" w14:textId="77777777" w:rsidR="00471311" w:rsidRDefault="00471311" w:rsidP="0028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CD02" w14:textId="46802937" w:rsidR="00DB17C6" w:rsidRDefault="00DB17C6" w:rsidP="00DB17C6">
    <w:pPr>
      <w:pStyle w:val="RBdokumentanosaukums"/>
      <w:ind w:left="0" w:firstLine="567"/>
    </w:pPr>
    <w:r>
      <w:rPr>
        <w:color w:val="2B579A"/>
        <w:shd w:val="clear" w:color="auto" w:fill="E6E6E6"/>
        <w:lang w:val="lv-LV" w:eastAsia="lv-LV"/>
      </w:rPr>
      <w:drawing>
        <wp:anchor distT="0" distB="0" distL="114300" distR="114300" simplePos="0" relativeHeight="251663360" behindDoc="0" locked="0" layoutInCell="1" allowOverlap="1" wp14:anchorId="44E7DC2E" wp14:editId="3ADBD25F">
          <wp:simplePos x="0" y="0"/>
          <wp:positionH relativeFrom="margin">
            <wp:posOffset>-38100</wp:posOffset>
          </wp:positionH>
          <wp:positionV relativeFrom="paragraph">
            <wp:posOffset>-2540</wp:posOffset>
          </wp:positionV>
          <wp:extent cx="914400" cy="304800"/>
          <wp:effectExtent l="0" t="0" r="0" b="0"/>
          <wp:wrapNone/>
          <wp:docPr id="16" name="Picture 1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Outgoing Correspondence </w:t>
    </w:r>
  </w:p>
  <w:p w14:paraId="0B448B0A" w14:textId="11C6857F" w:rsidR="00DB17C6" w:rsidRDefault="00944419" w:rsidP="00DB17C6">
    <w:pPr>
      <w:pStyle w:val="RBdokumentanosaukums"/>
      <w:ind w:left="0"/>
    </w:pPr>
    <w:r w:rsidRPr="00944419">
      <w:t>RBCR-PRC-COM_LR-Z-00235</w:t>
    </w:r>
  </w:p>
  <w:p w14:paraId="3F770439" w14:textId="359C4141" w:rsidR="00DB17C6" w:rsidRDefault="00DB1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7F92" w14:textId="72B7D0A9" w:rsidR="00DB17C6" w:rsidRDefault="00DB17C6" w:rsidP="00DB17C6">
    <w:pPr>
      <w:pStyle w:val="RBdokumentanosaukums"/>
      <w:ind w:left="0" w:firstLine="567"/>
    </w:pPr>
    <w:r>
      <w:drawing>
        <wp:anchor distT="0" distB="0" distL="114300" distR="114300" simplePos="0" relativeHeight="251659264" behindDoc="0" locked="0" layoutInCell="1" allowOverlap="1" wp14:anchorId="6F9EDD8A" wp14:editId="31727541">
          <wp:simplePos x="0" y="0"/>
          <wp:positionH relativeFrom="margin">
            <wp:align>left</wp:align>
          </wp:positionH>
          <wp:positionV relativeFrom="paragraph">
            <wp:posOffset>12065</wp:posOffset>
          </wp:positionV>
          <wp:extent cx="1597660" cy="531495"/>
          <wp:effectExtent l="0" t="0" r="2540" b="1905"/>
          <wp:wrapNone/>
          <wp:docPr id="17" name="Picture 17"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Outgoing Correspondence </w:t>
    </w:r>
  </w:p>
  <w:p w14:paraId="2D6DCBE6" w14:textId="6D98CFDF" w:rsidR="00DB17C6" w:rsidRDefault="00944419" w:rsidP="00DB17C6">
    <w:pPr>
      <w:pStyle w:val="RBdokumentanosaukums"/>
      <w:ind w:left="0"/>
    </w:pPr>
    <w:r w:rsidRPr="00944419">
      <w:t>RBCR-PRC-COM_LR-Z-00235</w:t>
    </w:r>
  </w:p>
  <w:p w14:paraId="29CFC0AD" w14:textId="26643933" w:rsidR="00DB17C6" w:rsidRDefault="00DB17C6" w:rsidP="004C2D46">
    <w:pPr>
      <w:pStyle w:val="Header1"/>
      <w:ind w:right="-1"/>
      <w:jc w:val="right"/>
      <w:rPr>
        <w:i w:val="0"/>
      </w:rPr>
    </w:pPr>
  </w:p>
  <w:p w14:paraId="14379768" w14:textId="252760C3" w:rsidR="002833D6" w:rsidRPr="002B2005" w:rsidRDefault="002833D6" w:rsidP="004C2D46">
    <w:pPr>
      <w:pStyle w:val="Header1"/>
      <w:ind w:right="-1"/>
      <w:jc w:val="right"/>
      <w:rPr>
        <w:i w:val="0"/>
      </w:rPr>
    </w:pPr>
    <w:r w:rsidRPr="002B2005">
      <w:rPr>
        <w:i w:val="0"/>
      </w:rPr>
      <w:t>RB Rail AS</w:t>
    </w:r>
  </w:p>
  <w:p w14:paraId="680D866B" w14:textId="77777777" w:rsidR="004C2D46" w:rsidRPr="00444AC6" w:rsidRDefault="002833D6" w:rsidP="004C2D46">
    <w:pPr>
      <w:pStyle w:val="Header1"/>
      <w:ind w:right="-1"/>
      <w:jc w:val="right"/>
      <w:rPr>
        <w:i w:val="0"/>
      </w:rPr>
    </w:pPr>
    <w:r w:rsidRPr="00444AC6">
      <w:rPr>
        <w:i w:val="0"/>
      </w:rPr>
      <w:t>Reg. No 40103845025</w:t>
    </w:r>
  </w:p>
  <w:p w14:paraId="3E10FE95" w14:textId="6A36DD18" w:rsidR="002833D6" w:rsidRPr="004A3512" w:rsidRDefault="00F41E8A" w:rsidP="004C2D46">
    <w:pPr>
      <w:pStyle w:val="Header1"/>
      <w:ind w:right="-1"/>
      <w:jc w:val="right"/>
      <w:rPr>
        <w:i w:val="0"/>
        <w:lang w:val="it-IT"/>
      </w:rPr>
    </w:pPr>
    <w:r w:rsidRPr="004A3512">
      <w:rPr>
        <w:i w:val="0"/>
        <w:lang w:val="it-IT"/>
      </w:rPr>
      <w:t>Satekles iela 2B</w:t>
    </w:r>
  </w:p>
  <w:p w14:paraId="194D53D1" w14:textId="29C5328F" w:rsidR="004C2D46" w:rsidRPr="004A3512" w:rsidRDefault="002833D6" w:rsidP="004C2D46">
    <w:pPr>
      <w:pStyle w:val="Header1"/>
      <w:ind w:right="-1"/>
      <w:jc w:val="right"/>
      <w:rPr>
        <w:i w:val="0"/>
        <w:lang w:val="it-IT"/>
      </w:rPr>
    </w:pPr>
    <w:r w:rsidRPr="004A3512">
      <w:rPr>
        <w:i w:val="0"/>
        <w:lang w:val="it-IT"/>
      </w:rPr>
      <w:t>Riga, LV-10</w:t>
    </w:r>
    <w:r w:rsidR="00F41E8A" w:rsidRPr="004A3512">
      <w:rPr>
        <w:i w:val="0"/>
        <w:lang w:val="it-IT"/>
      </w:rPr>
      <w:t>50</w:t>
    </w:r>
    <w:r w:rsidRPr="004A3512">
      <w:rPr>
        <w:i w:val="0"/>
        <w:lang w:val="it-IT"/>
      </w:rPr>
      <w:t>, Latvia</w:t>
    </w:r>
  </w:p>
  <w:p w14:paraId="5206A864" w14:textId="158DA801" w:rsidR="004C2D46" w:rsidRPr="006A057E" w:rsidRDefault="002833D6" w:rsidP="004C2D46">
    <w:pPr>
      <w:pStyle w:val="Header1"/>
      <w:ind w:right="-1"/>
      <w:jc w:val="right"/>
      <w:rPr>
        <w:i w:val="0"/>
        <w:lang w:val="fr-FR"/>
      </w:rPr>
    </w:pPr>
    <w:r w:rsidRPr="006A057E">
      <w:rPr>
        <w:i w:val="0"/>
        <w:lang w:val="fr-FR"/>
      </w:rPr>
      <w:t>Phone: +371 66 967</w:t>
    </w:r>
    <w:r w:rsidR="004C2D46" w:rsidRPr="006A057E">
      <w:rPr>
        <w:i w:val="0"/>
        <w:lang w:val="fr-FR"/>
      </w:rPr>
      <w:t> </w:t>
    </w:r>
    <w:r w:rsidRPr="006A057E">
      <w:rPr>
        <w:i w:val="0"/>
        <w:lang w:val="fr-FR"/>
      </w:rPr>
      <w:t>171</w:t>
    </w:r>
  </w:p>
  <w:p w14:paraId="7F932CAF" w14:textId="77777777" w:rsidR="004C2D46" w:rsidRPr="006A057E" w:rsidRDefault="002833D6" w:rsidP="004C2D46">
    <w:pPr>
      <w:pStyle w:val="Header1"/>
      <w:ind w:right="-1"/>
      <w:jc w:val="right"/>
      <w:rPr>
        <w:i w:val="0"/>
        <w:lang w:val="fr-FR"/>
      </w:rPr>
    </w:pPr>
    <w:r w:rsidRPr="006A057E">
      <w:rPr>
        <w:i w:val="0"/>
        <w:lang w:val="fr-FR"/>
      </w:rPr>
      <w:t xml:space="preserve">e-mail: </w:t>
    </w:r>
    <w:hyperlink r:id="rId2" w:history="1">
      <w:r w:rsidRPr="006A057E">
        <w:rPr>
          <w:rStyle w:val="Hyperlink"/>
          <w:i w:val="0"/>
          <w:lang w:val="fr-FR"/>
        </w:rPr>
        <w:t>info@railbaltica.org</w:t>
      </w:r>
    </w:hyperlink>
  </w:p>
  <w:p w14:paraId="0D5705F4" w14:textId="7E858E82" w:rsidR="002833D6" w:rsidRDefault="00B56C4D" w:rsidP="004C2D46">
    <w:pPr>
      <w:pStyle w:val="Header1"/>
      <w:ind w:right="-1"/>
      <w:jc w:val="right"/>
      <w:rPr>
        <w:i w:val="0"/>
      </w:rPr>
    </w:pPr>
    <w:hyperlink r:id="rId3" w:history="1">
      <w:r w:rsidRPr="00342E0C">
        <w:rPr>
          <w:rStyle w:val="Hyperlink"/>
          <w:i w:val="0"/>
        </w:rPr>
        <w:t>www.railbaltica.org</w:t>
      </w:r>
    </w:hyperlink>
  </w:p>
  <w:p w14:paraId="59ACDA07" w14:textId="64B9000B" w:rsidR="00B56C4D" w:rsidRDefault="00B56C4D" w:rsidP="004C2D46">
    <w:pPr>
      <w:pStyle w:val="Header1"/>
      <w:ind w:right="-1"/>
      <w:jc w:val="right"/>
      <w:rPr>
        <w:i w:val="0"/>
      </w:rPr>
    </w:pPr>
  </w:p>
  <w:p w14:paraId="284398B7" w14:textId="44465B7A" w:rsidR="00B56C4D" w:rsidRDefault="00B56C4D" w:rsidP="004C2D46">
    <w:pPr>
      <w:pStyle w:val="Header1"/>
      <w:ind w:right="-1"/>
      <w:jc w:val="right"/>
      <w:rPr>
        <w:i w:val="0"/>
      </w:rPr>
    </w:pPr>
  </w:p>
  <w:p w14:paraId="5A303D99" w14:textId="07B7EE1A" w:rsidR="00B56C4D" w:rsidRDefault="00B56C4D" w:rsidP="004C2D46">
    <w:pPr>
      <w:pStyle w:val="Header1"/>
      <w:ind w:right="-1"/>
      <w:jc w:val="right"/>
      <w:rPr>
        <w:i w:val="0"/>
      </w:rPr>
    </w:pPr>
  </w:p>
  <w:p w14:paraId="53CD3B0F" w14:textId="77777777" w:rsidR="00B56C4D" w:rsidRPr="002C6C96" w:rsidRDefault="00B56C4D" w:rsidP="004F1898">
    <w:pPr>
      <w:rPr>
        <w:color w:val="000000" w:themeColor="text1"/>
      </w:rPr>
    </w:pPr>
    <w:r w:rsidRPr="002C6C96">
      <w:rPr>
        <w:color w:val="000000" w:themeColor="text1"/>
      </w:rPr>
      <w:t>Riga</w:t>
    </w:r>
  </w:p>
  <w:p w14:paraId="0D35F5DC" w14:textId="2C782AE9" w:rsidR="009C6E3E" w:rsidRPr="002C6C96" w:rsidRDefault="00CE2A46" w:rsidP="004F1898">
    <w:pPr>
      <w:rPr>
        <w:color w:val="000000" w:themeColor="text1"/>
        <w:lang w:val="en-GB"/>
      </w:rPr>
    </w:pPr>
    <w:r w:rsidRPr="002C6C96">
      <w:rPr>
        <w:color w:val="000000" w:themeColor="text1"/>
        <w:sz w:val="20"/>
        <w:szCs w:val="20"/>
        <w:lang w:val="en-GB"/>
      </w:rPr>
      <w:t>Date of the document is the date of the time stamp of the last enclosed qualified electronic signature</w:t>
    </w:r>
  </w:p>
  <w:p w14:paraId="363614EB" w14:textId="232CEABC" w:rsidR="00B56C4D" w:rsidRPr="002C6C96" w:rsidRDefault="00B56C4D" w:rsidP="004F1898">
    <w:pPr>
      <w:rPr>
        <w:i/>
        <w:color w:val="000000" w:themeColor="text1"/>
      </w:rPr>
    </w:pPr>
    <w:proofErr w:type="spellStart"/>
    <w:r w:rsidRPr="002C6C96">
      <w:rPr>
        <w:color w:val="000000" w:themeColor="text1"/>
      </w:rPr>
      <w:t>Our</w:t>
    </w:r>
    <w:proofErr w:type="spellEnd"/>
    <w:r w:rsidRPr="002C6C96">
      <w:rPr>
        <w:color w:val="000000" w:themeColor="text1"/>
      </w:rPr>
      <w:t xml:space="preserve"> </w:t>
    </w:r>
    <w:proofErr w:type="spellStart"/>
    <w:r w:rsidRPr="002C6C96">
      <w:rPr>
        <w:color w:val="000000" w:themeColor="text1"/>
      </w:rPr>
      <w:t>Ref</w:t>
    </w:r>
    <w:proofErr w:type="spellEnd"/>
    <w:r w:rsidRPr="002C6C96">
      <w:rPr>
        <w:color w:val="000000" w:themeColor="text1"/>
      </w:rPr>
      <w:t xml:space="preserve">: </w:t>
    </w:r>
    <w:r>
      <w:t>1.13p/LV-2025-41</w:t>
    </w:r>
    <w:r w:rsidRPr="002C6C96">
      <w:rPr>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F12E7"/>
    <w:multiLevelType w:val="multilevel"/>
    <w:tmpl w:val="DBB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D6E54"/>
    <w:multiLevelType w:val="multilevel"/>
    <w:tmpl w:val="C968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244380">
    <w:abstractNumId w:val="0"/>
  </w:num>
  <w:num w:numId="2" w16cid:durableId="156266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03"/>
    <w:rsid w:val="0001624E"/>
    <w:rsid w:val="000276FF"/>
    <w:rsid w:val="0008548A"/>
    <w:rsid w:val="000C063F"/>
    <w:rsid w:val="00101EA6"/>
    <w:rsid w:val="0011245E"/>
    <w:rsid w:val="00142C8A"/>
    <w:rsid w:val="001506E9"/>
    <w:rsid w:val="00154C4F"/>
    <w:rsid w:val="001E1B75"/>
    <w:rsid w:val="001F2CFE"/>
    <w:rsid w:val="0021090E"/>
    <w:rsid w:val="00273252"/>
    <w:rsid w:val="002833D6"/>
    <w:rsid w:val="00294F56"/>
    <w:rsid w:val="002A435C"/>
    <w:rsid w:val="002A7EFA"/>
    <w:rsid w:val="002C1B53"/>
    <w:rsid w:val="002C6C96"/>
    <w:rsid w:val="002D3690"/>
    <w:rsid w:val="002E0A2C"/>
    <w:rsid w:val="002F194D"/>
    <w:rsid w:val="00325A03"/>
    <w:rsid w:val="003B156E"/>
    <w:rsid w:val="003D09AE"/>
    <w:rsid w:val="004220BD"/>
    <w:rsid w:val="00444AC6"/>
    <w:rsid w:val="00464C76"/>
    <w:rsid w:val="00471311"/>
    <w:rsid w:val="00492226"/>
    <w:rsid w:val="004A3512"/>
    <w:rsid w:val="004B48A4"/>
    <w:rsid w:val="004C2D46"/>
    <w:rsid w:val="004D6311"/>
    <w:rsid w:val="004E0905"/>
    <w:rsid w:val="004F1898"/>
    <w:rsid w:val="0050305B"/>
    <w:rsid w:val="0050598D"/>
    <w:rsid w:val="005076BF"/>
    <w:rsid w:val="00512880"/>
    <w:rsid w:val="00563124"/>
    <w:rsid w:val="00583894"/>
    <w:rsid w:val="005A1DC3"/>
    <w:rsid w:val="005A6A84"/>
    <w:rsid w:val="00606929"/>
    <w:rsid w:val="006615F5"/>
    <w:rsid w:val="0066467A"/>
    <w:rsid w:val="0068535E"/>
    <w:rsid w:val="00692FD7"/>
    <w:rsid w:val="006A057E"/>
    <w:rsid w:val="006C2AEB"/>
    <w:rsid w:val="006C54F6"/>
    <w:rsid w:val="006D0BC4"/>
    <w:rsid w:val="006F5BD4"/>
    <w:rsid w:val="006F6F83"/>
    <w:rsid w:val="00770D82"/>
    <w:rsid w:val="00777100"/>
    <w:rsid w:val="007A3C97"/>
    <w:rsid w:val="007B6923"/>
    <w:rsid w:val="007F5A5C"/>
    <w:rsid w:val="00835D2E"/>
    <w:rsid w:val="00863476"/>
    <w:rsid w:val="00866A3B"/>
    <w:rsid w:val="0087189C"/>
    <w:rsid w:val="00876256"/>
    <w:rsid w:val="008768EF"/>
    <w:rsid w:val="00877A08"/>
    <w:rsid w:val="00882D79"/>
    <w:rsid w:val="008A3558"/>
    <w:rsid w:val="008A7986"/>
    <w:rsid w:val="00914B2C"/>
    <w:rsid w:val="00944419"/>
    <w:rsid w:val="00956A93"/>
    <w:rsid w:val="00965AFB"/>
    <w:rsid w:val="0098520A"/>
    <w:rsid w:val="009A6854"/>
    <w:rsid w:val="009C4613"/>
    <w:rsid w:val="009C6E3E"/>
    <w:rsid w:val="009E2BD8"/>
    <w:rsid w:val="009F50E2"/>
    <w:rsid w:val="00A715E8"/>
    <w:rsid w:val="00A84722"/>
    <w:rsid w:val="00B137C6"/>
    <w:rsid w:val="00B26308"/>
    <w:rsid w:val="00B43755"/>
    <w:rsid w:val="00B527B2"/>
    <w:rsid w:val="00B56C4D"/>
    <w:rsid w:val="00B63733"/>
    <w:rsid w:val="00C40A89"/>
    <w:rsid w:val="00C549E8"/>
    <w:rsid w:val="00C71B45"/>
    <w:rsid w:val="00C84E39"/>
    <w:rsid w:val="00C85283"/>
    <w:rsid w:val="00CD4809"/>
    <w:rsid w:val="00CE2A46"/>
    <w:rsid w:val="00D8702B"/>
    <w:rsid w:val="00DA52F2"/>
    <w:rsid w:val="00DA6D9C"/>
    <w:rsid w:val="00DB17C6"/>
    <w:rsid w:val="00DB1F8A"/>
    <w:rsid w:val="00DB79A8"/>
    <w:rsid w:val="00DF6B31"/>
    <w:rsid w:val="00DF7776"/>
    <w:rsid w:val="00E0049F"/>
    <w:rsid w:val="00E16213"/>
    <w:rsid w:val="00E1693D"/>
    <w:rsid w:val="00E46215"/>
    <w:rsid w:val="00E861FF"/>
    <w:rsid w:val="00E93031"/>
    <w:rsid w:val="00EB54F6"/>
    <w:rsid w:val="00EE7ADA"/>
    <w:rsid w:val="00F36DFA"/>
    <w:rsid w:val="00F41E8A"/>
    <w:rsid w:val="00FA73CF"/>
    <w:rsid w:val="00FD5BF3"/>
    <w:rsid w:val="00FE5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C32066"/>
  <w15:chartTrackingRefBased/>
  <w15:docId w15:val="{7C522356-B4F6-4A8B-AF19-89DAC8CC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98"/>
    <w:rPr>
      <w:rFonts w:ascii="Myriad Pro" w:hAnsi="Myriad Pro"/>
    </w:rPr>
  </w:style>
  <w:style w:type="paragraph" w:styleId="Heading1">
    <w:name w:val="heading 1"/>
    <w:basedOn w:val="Normal"/>
    <w:next w:val="Normal"/>
    <w:link w:val="Heading1Char"/>
    <w:uiPriority w:val="9"/>
    <w:qFormat/>
    <w:rsid w:val="00985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Subtitle">
    <w:name w:val="RB_Subtitle"/>
    <w:basedOn w:val="Heading2"/>
    <w:qFormat/>
    <w:rsid w:val="0098520A"/>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en-US"/>
    </w:rPr>
  </w:style>
  <w:style w:type="character" w:customStyle="1" w:styleId="Heading2Char">
    <w:name w:val="Heading 2 Char"/>
    <w:basedOn w:val="DefaultParagraphFont"/>
    <w:link w:val="Heading2"/>
    <w:uiPriority w:val="9"/>
    <w:semiHidden/>
    <w:rsid w:val="0098520A"/>
    <w:rPr>
      <w:rFonts w:asciiTheme="majorHAnsi" w:eastAsiaTheme="majorEastAsia" w:hAnsiTheme="majorHAnsi" w:cstheme="majorBidi"/>
      <w:color w:val="2F5496" w:themeColor="accent1" w:themeShade="BF"/>
      <w:sz w:val="26"/>
      <w:szCs w:val="26"/>
    </w:rPr>
  </w:style>
  <w:style w:type="paragraph" w:customStyle="1" w:styleId="RBTitle">
    <w:name w:val="RB_Title"/>
    <w:basedOn w:val="Heading1"/>
    <w:qFormat/>
    <w:rsid w:val="0098520A"/>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character" w:customStyle="1" w:styleId="Heading1Char">
    <w:name w:val="Heading 1 Char"/>
    <w:basedOn w:val="DefaultParagraphFont"/>
    <w:link w:val="Heading1"/>
    <w:uiPriority w:val="9"/>
    <w:rsid w:val="009852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6"/>
  </w:style>
  <w:style w:type="paragraph" w:styleId="Footer">
    <w:name w:val="footer"/>
    <w:basedOn w:val="Normal"/>
    <w:link w:val="FooterChar"/>
    <w:uiPriority w:val="99"/>
    <w:unhideWhenUsed/>
    <w:rsid w:val="0028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6"/>
  </w:style>
  <w:style w:type="character" w:styleId="Hyperlink">
    <w:name w:val="Hyperlink"/>
    <w:uiPriority w:val="99"/>
    <w:rsid w:val="002833D6"/>
    <w:rPr>
      <w:u w:val="single"/>
    </w:rPr>
  </w:style>
  <w:style w:type="paragraph" w:customStyle="1" w:styleId="Header1">
    <w:name w:val="Header1"/>
    <w:rsid w:val="002833D6"/>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letter">
    <w:name w:val="RB_Body_letter"/>
    <w:basedOn w:val="Normal"/>
    <w:link w:val="RBBodyletterChar"/>
    <w:qFormat/>
    <w:rsid w:val="00FD5BF3"/>
    <w:pPr>
      <w:spacing w:after="240" w:line="276" w:lineRule="auto"/>
    </w:pPr>
    <w:rPr>
      <w:color w:val="5D5D5D"/>
      <w:lang w:val="en-US"/>
    </w:rPr>
  </w:style>
  <w:style w:type="paragraph" w:customStyle="1" w:styleId="RBbody">
    <w:name w:val="RB_body"/>
    <w:qFormat/>
    <w:rsid w:val="002833D6"/>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letterChar">
    <w:name w:val="RB_Body_letter Char"/>
    <w:basedOn w:val="DefaultParagraphFont"/>
    <w:link w:val="RBBodyletter"/>
    <w:rsid w:val="00FD5BF3"/>
    <w:rPr>
      <w:rFonts w:ascii="Myriad Pro" w:hAnsi="Myriad Pro"/>
      <w:color w:val="5D5D5D"/>
      <w:lang w:val="en-US"/>
    </w:rPr>
  </w:style>
  <w:style w:type="paragraph" w:customStyle="1" w:styleId="RBbody2">
    <w:name w:val="RB_body 2"/>
    <w:basedOn w:val="RBbody"/>
    <w:rsid w:val="002833D6"/>
    <w:pPr>
      <w:spacing w:before="200"/>
      <w:ind w:firstLine="567"/>
      <w:jc w:val="both"/>
    </w:pPr>
  </w:style>
  <w:style w:type="character" w:styleId="UnresolvedMention">
    <w:name w:val="Unresolved Mention"/>
    <w:basedOn w:val="DefaultParagraphFont"/>
    <w:uiPriority w:val="99"/>
    <w:semiHidden/>
    <w:unhideWhenUsed/>
    <w:rsid w:val="00B56C4D"/>
    <w:rPr>
      <w:color w:val="808080"/>
      <w:shd w:val="clear" w:color="auto" w:fill="E6E6E6"/>
    </w:rPr>
  </w:style>
  <w:style w:type="character" w:customStyle="1" w:styleId="normaltextrun">
    <w:name w:val="normaltextrun"/>
    <w:basedOn w:val="DefaultParagraphFont"/>
    <w:rsid w:val="00835D2E"/>
  </w:style>
  <w:style w:type="character" w:customStyle="1" w:styleId="eop">
    <w:name w:val="eop"/>
    <w:basedOn w:val="DefaultParagraphFont"/>
    <w:rsid w:val="00835D2E"/>
  </w:style>
  <w:style w:type="paragraph" w:customStyle="1" w:styleId="RBdokumentanosaukums">
    <w:name w:val="RB_dokumenta_nosaukums"/>
    <w:basedOn w:val="Header1"/>
    <w:qFormat/>
    <w:rsid w:val="00DB17C6"/>
    <w:pPr>
      <w:jc w:val="right"/>
    </w:pPr>
    <w:rPr>
      <w:i w:val="0"/>
    </w:rPr>
  </w:style>
  <w:style w:type="paragraph" w:customStyle="1" w:styleId="RBminitext">
    <w:name w:val="RB_minitext"/>
    <w:qFormat/>
    <w:rsid w:val="00DB17C6"/>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table" w:styleId="PlainTable4">
    <w:name w:val="Plain Table 4"/>
    <w:basedOn w:val="TableNormal"/>
    <w:uiPriority w:val="44"/>
    <w:rsid w:val="00DB17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A3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2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38295b98518285b8457136b0e9cb220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4e863eaf1f69b5a229260d4cba0fac7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A707-B5DA-4BE3-B3CD-F8B9C80D8410}">
  <ds:schemaRefs>
    <ds:schemaRef ds:uri="http://schemas.microsoft.com/sharepoint/v3/contenttype/forms"/>
  </ds:schemaRefs>
</ds:datastoreItem>
</file>

<file path=customXml/itemProps2.xml><?xml version="1.0" encoding="utf-8"?>
<ds:datastoreItem xmlns:ds="http://schemas.openxmlformats.org/officeDocument/2006/customXml" ds:itemID="{4057F6BD-13EF-4210-82DD-B3047220A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EE2C0-0C75-467E-A5AE-1C35F4FC3F53}">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4.xml><?xml version="1.0" encoding="utf-8"?>
<ds:datastoreItem xmlns:ds="http://schemas.openxmlformats.org/officeDocument/2006/customXml" ds:itemID="{6C61642C-C3D8-438A-84B1-E4F3A038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4174</Words>
  <Characters>2380</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Ieva Rudzīte</cp:lastModifiedBy>
  <cp:revision>5</cp:revision>
  <dcterms:created xsi:type="dcterms:W3CDTF">2025-02-20T09:13:00Z</dcterms:created>
  <dcterms:modified xsi:type="dcterms:W3CDTF">2025-02-20T09:28:00Z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0x010100F7613BE71AB5D84D85907E89B00562EB</vt:lpwstr>
  </property>
</Properties>
</file>